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D8D23" w14:textId="643B8F78" w:rsidR="00951738" w:rsidRPr="002D284A" w:rsidRDefault="006329C6" w:rsidP="005741A3">
      <w:pPr>
        <w:pStyle w:val="Title"/>
        <w:spacing w:before="3000" w:beforeAutospacing="0"/>
        <w:rPr>
          <w:lang w:val="fr-CA"/>
        </w:rPr>
      </w:pPr>
      <w:bookmarkStart w:id="0" w:name="_Toc192079811"/>
      <w:bookmarkEnd w:id="0"/>
      <w:r w:rsidRPr="004B4911">
        <w:rPr>
          <w:noProof/>
        </w:rPr>
        <w:drawing>
          <wp:anchor distT="0" distB="0" distL="114300" distR="114300" simplePos="0" relativeHeight="251658240" behindDoc="1" locked="0" layoutInCell="1" allowOverlap="1" wp14:anchorId="723C67E2" wp14:editId="1CC99294">
            <wp:simplePos x="0" y="0"/>
            <wp:positionH relativeFrom="margin">
              <wp:posOffset>1818005</wp:posOffset>
            </wp:positionH>
            <wp:positionV relativeFrom="page">
              <wp:posOffset>-4061460</wp:posOffset>
            </wp:positionV>
            <wp:extent cx="2307600" cy="8230185"/>
            <wp:effectExtent l="0" t="8255" r="8255" b="825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r="50148"/>
                    <a:stretch/>
                  </pic:blipFill>
                  <pic:spPr bwMode="auto">
                    <a:xfrm rot="5400000">
                      <a:off x="0" y="0"/>
                      <a:ext cx="2307600" cy="82301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D343BC" w:rsidRPr="002D284A">
        <w:rPr>
          <w:lang w:val="fr-CA"/>
        </w:rPr>
        <w:t xml:space="preserve"> </w:t>
      </w:r>
      <w:r w:rsidR="00CF7743" w:rsidRPr="002D284A">
        <w:rPr>
          <w:lang w:val="fr-CA"/>
        </w:rPr>
        <w:t>CAN-ASC-2.4</w:t>
      </w:r>
      <w:r w:rsidR="005741A3" w:rsidRPr="002D284A">
        <w:rPr>
          <w:lang w:val="fr-CA"/>
        </w:rPr>
        <w:t xml:space="preserve"> – </w:t>
      </w:r>
      <w:r w:rsidR="00EC0945" w:rsidRPr="002D284A">
        <w:rPr>
          <w:lang w:val="fr-CA"/>
        </w:rPr>
        <w:t xml:space="preserve">Orientation </w:t>
      </w:r>
      <w:r w:rsidR="00CF7743" w:rsidRPr="002D284A">
        <w:rPr>
          <w:lang w:val="fr-CA"/>
        </w:rPr>
        <w:t>et signalisation</w:t>
      </w:r>
      <w:r w:rsidR="00951738" w:rsidRPr="002D284A">
        <w:rPr>
          <w:lang w:val="fr-CA"/>
        </w:rPr>
        <w:t xml:space="preserve"> </w:t>
      </w:r>
    </w:p>
    <w:p w14:paraId="6CE22740" w14:textId="30247FAB" w:rsidR="00941A69" w:rsidRPr="00877353" w:rsidRDefault="00A533EB" w:rsidP="005741A3">
      <w:pPr>
        <w:pStyle w:val="Subtitle"/>
        <w:rPr>
          <w:lang w:val="fr-CA"/>
        </w:rPr>
        <w:sectPr w:rsidR="00941A69" w:rsidRPr="00877353" w:rsidSect="00941A6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81"/>
        </w:sectPr>
      </w:pPr>
      <w:r w:rsidRPr="00843F38">
        <w:rPr>
          <w:noProof/>
        </w:rPr>
        <w:drawing>
          <wp:anchor distT="0" distB="0" distL="114300" distR="114300" simplePos="0" relativeHeight="251658243" behindDoc="0" locked="0" layoutInCell="1" allowOverlap="1" wp14:anchorId="438D4A8D" wp14:editId="7E0BAA09">
            <wp:simplePos x="0" y="0"/>
            <wp:positionH relativeFrom="margin">
              <wp:posOffset>-152400</wp:posOffset>
            </wp:positionH>
            <wp:positionV relativeFrom="bottomMargin">
              <wp:posOffset>116840</wp:posOffset>
            </wp:positionV>
            <wp:extent cx="3664585" cy="341630"/>
            <wp:effectExtent l="0" t="0" r="0" b="1270"/>
            <wp:wrapNone/>
            <wp:docPr id="1615739330" name="Picture 1615739330" descr="Signature de Normes d'accessibilité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gnature de Normes d'accessibilité Canada."/>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664585" cy="341630"/>
                    </a:xfrm>
                    <a:prstGeom prst="rect">
                      <a:avLst/>
                    </a:prstGeom>
                  </pic:spPr>
                </pic:pic>
              </a:graphicData>
            </a:graphic>
            <wp14:sizeRelH relativeFrom="page">
              <wp14:pctWidth>0</wp14:pctWidth>
            </wp14:sizeRelH>
            <wp14:sizeRelV relativeFrom="page">
              <wp14:pctHeight>0</wp14:pctHeight>
            </wp14:sizeRelV>
          </wp:anchor>
        </w:drawing>
      </w:r>
      <w:r w:rsidR="00EC0945" w:rsidRPr="005D2593">
        <w:rPr>
          <w:lang w:val="fr-CA"/>
        </w:rPr>
        <w:t>Projet de norme</w:t>
      </w:r>
      <w:r w:rsidR="004A1FDE" w:rsidRPr="00AB520E">
        <w:rPr>
          <w:noProof/>
        </w:rPr>
        <w:drawing>
          <wp:anchor distT="0" distB="0" distL="114300" distR="114300" simplePos="0" relativeHeight="251658242" behindDoc="0" locked="0" layoutInCell="1" allowOverlap="1" wp14:anchorId="755863B2" wp14:editId="51B8E599">
            <wp:simplePos x="0" y="0"/>
            <wp:positionH relativeFrom="margin">
              <wp:align>center</wp:align>
            </wp:positionH>
            <wp:positionV relativeFrom="margin">
              <wp:posOffset>4876800</wp:posOffset>
            </wp:positionV>
            <wp:extent cx="1569600" cy="1213200"/>
            <wp:effectExtent l="0" t="0" r="0" b="6350"/>
            <wp:wrapSquare wrapText="bothSides"/>
            <wp:docPr id="49466761" name="Picture 49466761" descr="Marque de commerce Normes pour l'accessibilité Can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cessibility Standards Canada Trademark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69600" cy="121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6C61" w:rsidRPr="00F66C61">
        <w:rPr>
          <w:noProof/>
        </w:rPr>
        <w:drawing>
          <wp:anchor distT="0" distB="0" distL="114300" distR="114300" simplePos="0" relativeHeight="251658241" behindDoc="0" locked="0" layoutInCell="1" allowOverlap="1" wp14:anchorId="55F2C816" wp14:editId="5C5A56BE">
            <wp:simplePos x="0" y="0"/>
            <wp:positionH relativeFrom="margin">
              <wp:posOffset>4457065</wp:posOffset>
            </wp:positionH>
            <wp:positionV relativeFrom="page">
              <wp:posOffset>9109075</wp:posOffset>
            </wp:positionV>
            <wp:extent cx="1479600" cy="496800"/>
            <wp:effectExtent l="0" t="0" r="0" b="0"/>
            <wp:wrapNone/>
            <wp:docPr id="5" name="Picture 5" descr="Marque de mot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nada wordmark."/>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79600" cy="496800"/>
                    </a:xfrm>
                    <a:prstGeom prst="rect">
                      <a:avLst/>
                    </a:prstGeom>
                  </pic:spPr>
                </pic:pic>
              </a:graphicData>
            </a:graphic>
            <wp14:sizeRelH relativeFrom="page">
              <wp14:pctWidth>0</wp14:pctWidth>
            </wp14:sizeRelH>
            <wp14:sizeRelV relativeFrom="page">
              <wp14:pctHeight>0</wp14:pctHeight>
            </wp14:sizeRelV>
          </wp:anchor>
        </w:drawing>
      </w:r>
    </w:p>
    <w:bookmarkStart w:id="1" w:name="_Toc219706162" w:displacedByCustomXml="next"/>
    <w:bookmarkStart w:id="2" w:name="_Toc216089172" w:displacedByCustomXml="next"/>
    <w:bookmarkStart w:id="3" w:name="_Toc209771359" w:displacedByCustomXml="next"/>
    <w:bookmarkStart w:id="4" w:name="_Toc211607085" w:displacedByCustomXml="next"/>
    <w:bookmarkStart w:id="5" w:name="_Toc211607380" w:displacedByCustomXml="next"/>
    <w:bookmarkStart w:id="6" w:name="_Toc214882955" w:displacedByCustomXml="next"/>
    <w:bookmarkStart w:id="7" w:name="_Toc217199479" w:displacedByCustomXml="next"/>
    <w:sdt>
      <w:sdtPr>
        <w:rPr>
          <w:rFonts w:eastAsiaTheme="minorEastAsia" w:cstheme="minorBidi"/>
          <w:b w:val="0"/>
          <w:sz w:val="28"/>
          <w:szCs w:val="28"/>
        </w:rPr>
        <w:id w:val="1212997030"/>
        <w:docPartObj>
          <w:docPartGallery w:val="Table of Contents"/>
          <w:docPartUnique/>
        </w:docPartObj>
      </w:sdtPr>
      <w:sdtEndPr>
        <w:rPr>
          <w:noProof/>
        </w:rPr>
      </w:sdtEndPr>
      <w:sdtContent>
        <w:p w14:paraId="21355E52" w14:textId="77777777" w:rsidR="00C849C5" w:rsidRDefault="00931F27" w:rsidP="009B5CC1">
          <w:pPr>
            <w:pStyle w:val="TOCHeading"/>
            <w:rPr>
              <w:noProof/>
            </w:rPr>
          </w:pPr>
          <w:r w:rsidRPr="00210FE5">
            <w:rPr>
              <w:lang w:val="fr-CA"/>
            </w:rPr>
            <w:t>Table des matières</w:t>
          </w:r>
          <w:bookmarkEnd w:id="7"/>
          <w:bookmarkEnd w:id="6"/>
          <w:bookmarkEnd w:id="5"/>
          <w:bookmarkEnd w:id="4"/>
          <w:bookmarkEnd w:id="3"/>
          <w:bookmarkEnd w:id="2"/>
          <w:bookmarkEnd w:id="1"/>
          <w:r>
            <w:rPr>
              <w:b w:val="0"/>
            </w:rPr>
            <w:fldChar w:fldCharType="begin"/>
          </w:r>
          <w:r w:rsidRPr="00A533EB">
            <w:rPr>
              <w:lang w:val="fr-CA"/>
            </w:rPr>
            <w:instrText xml:space="preserve"> TOC \o "1-3" \h \z \u </w:instrText>
          </w:r>
          <w:r>
            <w:rPr>
              <w:b w:val="0"/>
            </w:rPr>
            <w:fldChar w:fldCharType="separate"/>
          </w:r>
        </w:p>
        <w:p w14:paraId="48F68079" w14:textId="71B15A5B" w:rsidR="00C849C5" w:rsidRDefault="00C849C5">
          <w:pPr>
            <w:pStyle w:val="TOC1"/>
            <w:tabs>
              <w:tab w:val="right" w:leader="dot" w:pos="9350"/>
            </w:tabs>
            <w:rPr>
              <w:rFonts w:asciiTheme="minorHAnsi" w:eastAsiaTheme="minorEastAsia" w:hAnsiTheme="minorHAnsi"/>
              <w:noProof/>
              <w:sz w:val="24"/>
              <w:szCs w:val="24"/>
              <w:lang w:eastAsia="en-CA"/>
            </w:rPr>
          </w:pPr>
          <w:hyperlink w:anchor="_Toc219706163" w:history="1">
            <w:r w:rsidRPr="00C525BB">
              <w:rPr>
                <w:rStyle w:val="Hyperlink"/>
                <w:noProof/>
                <w:lang w:val="fr-CA"/>
              </w:rPr>
              <w:t>1</w:t>
            </w:r>
            <w:r w:rsidRPr="00C525BB">
              <w:rPr>
                <w:rStyle w:val="Hyperlink"/>
                <w:noProof/>
              </w:rPr>
              <w:t xml:space="preserve"> </w:t>
            </w:r>
            <w:r w:rsidRPr="00C525BB">
              <w:rPr>
                <w:rStyle w:val="Hyperlink"/>
                <w:noProof/>
                <w:lang w:val="fr-CA"/>
              </w:rPr>
              <w:t>À propos de Normes d’accessibilité Canada</w:t>
            </w:r>
            <w:r>
              <w:rPr>
                <w:noProof/>
                <w:webHidden/>
              </w:rPr>
              <w:tab/>
            </w:r>
            <w:r>
              <w:rPr>
                <w:noProof/>
                <w:webHidden/>
              </w:rPr>
              <w:fldChar w:fldCharType="begin"/>
            </w:r>
            <w:r>
              <w:rPr>
                <w:noProof/>
                <w:webHidden/>
              </w:rPr>
              <w:instrText xml:space="preserve"> PAGEREF _Toc219706163 \h </w:instrText>
            </w:r>
            <w:r>
              <w:rPr>
                <w:noProof/>
                <w:webHidden/>
              </w:rPr>
            </w:r>
            <w:r>
              <w:rPr>
                <w:noProof/>
                <w:webHidden/>
              </w:rPr>
              <w:fldChar w:fldCharType="separate"/>
            </w:r>
            <w:r w:rsidR="00523C37">
              <w:rPr>
                <w:noProof/>
                <w:webHidden/>
              </w:rPr>
              <w:t>8</w:t>
            </w:r>
            <w:r>
              <w:rPr>
                <w:noProof/>
                <w:webHidden/>
              </w:rPr>
              <w:fldChar w:fldCharType="end"/>
            </w:r>
          </w:hyperlink>
        </w:p>
        <w:p w14:paraId="33AB7128" w14:textId="633D3314" w:rsidR="00C849C5" w:rsidRDefault="00C849C5">
          <w:pPr>
            <w:pStyle w:val="TOC1"/>
            <w:tabs>
              <w:tab w:val="right" w:leader="dot" w:pos="9350"/>
            </w:tabs>
            <w:rPr>
              <w:rFonts w:asciiTheme="minorHAnsi" w:eastAsiaTheme="minorEastAsia" w:hAnsiTheme="minorHAnsi"/>
              <w:noProof/>
              <w:sz w:val="24"/>
              <w:szCs w:val="24"/>
              <w:lang w:eastAsia="en-CA"/>
            </w:rPr>
          </w:pPr>
          <w:hyperlink w:anchor="_Toc219706164" w:history="1">
            <w:r w:rsidRPr="00C525BB">
              <w:rPr>
                <w:rStyle w:val="Hyperlink"/>
                <w:noProof/>
                <w:lang w:val="fr-CA"/>
              </w:rPr>
              <w:t>2 Énoncé du Conseil canadien des normes</w:t>
            </w:r>
            <w:r>
              <w:rPr>
                <w:noProof/>
                <w:webHidden/>
              </w:rPr>
              <w:tab/>
            </w:r>
            <w:r>
              <w:rPr>
                <w:noProof/>
                <w:webHidden/>
              </w:rPr>
              <w:fldChar w:fldCharType="begin"/>
            </w:r>
            <w:r>
              <w:rPr>
                <w:noProof/>
                <w:webHidden/>
              </w:rPr>
              <w:instrText xml:space="preserve"> PAGEREF _Toc219706164 \h </w:instrText>
            </w:r>
            <w:r>
              <w:rPr>
                <w:noProof/>
                <w:webHidden/>
              </w:rPr>
            </w:r>
            <w:r>
              <w:rPr>
                <w:noProof/>
                <w:webHidden/>
              </w:rPr>
              <w:fldChar w:fldCharType="separate"/>
            </w:r>
            <w:r w:rsidR="00523C37">
              <w:rPr>
                <w:noProof/>
                <w:webHidden/>
              </w:rPr>
              <w:t>15</w:t>
            </w:r>
            <w:r>
              <w:rPr>
                <w:noProof/>
                <w:webHidden/>
              </w:rPr>
              <w:fldChar w:fldCharType="end"/>
            </w:r>
          </w:hyperlink>
        </w:p>
        <w:p w14:paraId="5320E525" w14:textId="55A3F933" w:rsidR="00C849C5" w:rsidRDefault="00C849C5">
          <w:pPr>
            <w:pStyle w:val="TOC1"/>
            <w:tabs>
              <w:tab w:val="right" w:leader="dot" w:pos="9350"/>
            </w:tabs>
            <w:rPr>
              <w:rFonts w:asciiTheme="minorHAnsi" w:eastAsiaTheme="minorEastAsia" w:hAnsiTheme="minorHAnsi"/>
              <w:noProof/>
              <w:sz w:val="24"/>
              <w:szCs w:val="24"/>
              <w:lang w:eastAsia="en-CA"/>
            </w:rPr>
          </w:pPr>
          <w:hyperlink w:anchor="_Toc219706165" w:history="1">
            <w:r w:rsidRPr="00C525BB">
              <w:rPr>
                <w:rStyle w:val="Hyperlink"/>
                <w:noProof/>
              </w:rPr>
              <w:t>3 Avis juridique de NAC</w:t>
            </w:r>
            <w:r>
              <w:rPr>
                <w:noProof/>
                <w:webHidden/>
              </w:rPr>
              <w:tab/>
            </w:r>
            <w:r>
              <w:rPr>
                <w:noProof/>
                <w:webHidden/>
              </w:rPr>
              <w:fldChar w:fldCharType="begin"/>
            </w:r>
            <w:r>
              <w:rPr>
                <w:noProof/>
                <w:webHidden/>
              </w:rPr>
              <w:instrText xml:space="preserve"> PAGEREF _Toc219706165 \h </w:instrText>
            </w:r>
            <w:r>
              <w:rPr>
                <w:noProof/>
                <w:webHidden/>
              </w:rPr>
            </w:r>
            <w:r>
              <w:rPr>
                <w:noProof/>
                <w:webHidden/>
              </w:rPr>
              <w:fldChar w:fldCharType="separate"/>
            </w:r>
            <w:r w:rsidR="00523C37">
              <w:rPr>
                <w:noProof/>
                <w:webHidden/>
              </w:rPr>
              <w:t>16</w:t>
            </w:r>
            <w:r>
              <w:rPr>
                <w:noProof/>
                <w:webHidden/>
              </w:rPr>
              <w:fldChar w:fldCharType="end"/>
            </w:r>
          </w:hyperlink>
        </w:p>
        <w:p w14:paraId="30039F93" w14:textId="1A93A990"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166" w:history="1">
            <w:r w:rsidRPr="00C525BB">
              <w:rPr>
                <w:rStyle w:val="Hyperlink"/>
                <w:noProof/>
              </w:rPr>
              <w:t>3.1 Avis juridique concernant les normes</w:t>
            </w:r>
            <w:r>
              <w:rPr>
                <w:noProof/>
                <w:webHidden/>
              </w:rPr>
              <w:tab/>
            </w:r>
            <w:r>
              <w:rPr>
                <w:noProof/>
                <w:webHidden/>
              </w:rPr>
              <w:fldChar w:fldCharType="begin"/>
            </w:r>
            <w:r>
              <w:rPr>
                <w:noProof/>
                <w:webHidden/>
              </w:rPr>
              <w:instrText xml:space="preserve"> PAGEREF _Toc219706166 \h </w:instrText>
            </w:r>
            <w:r>
              <w:rPr>
                <w:noProof/>
                <w:webHidden/>
              </w:rPr>
            </w:r>
            <w:r>
              <w:rPr>
                <w:noProof/>
                <w:webHidden/>
              </w:rPr>
              <w:fldChar w:fldCharType="separate"/>
            </w:r>
            <w:r w:rsidR="00523C37">
              <w:rPr>
                <w:noProof/>
                <w:webHidden/>
              </w:rPr>
              <w:t>16</w:t>
            </w:r>
            <w:r>
              <w:rPr>
                <w:noProof/>
                <w:webHidden/>
              </w:rPr>
              <w:fldChar w:fldCharType="end"/>
            </w:r>
          </w:hyperlink>
        </w:p>
        <w:p w14:paraId="160D89CB" w14:textId="0B65D34B"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167" w:history="1">
            <w:r w:rsidRPr="00C525BB">
              <w:rPr>
                <w:rStyle w:val="Hyperlink"/>
                <w:noProof/>
                <w:lang w:val="fr-CA"/>
              </w:rPr>
              <w:t>3.2 Comprendre la présente édition du projet de norme</w:t>
            </w:r>
            <w:r>
              <w:rPr>
                <w:noProof/>
                <w:webHidden/>
              </w:rPr>
              <w:tab/>
            </w:r>
            <w:r>
              <w:rPr>
                <w:noProof/>
                <w:webHidden/>
              </w:rPr>
              <w:fldChar w:fldCharType="begin"/>
            </w:r>
            <w:r>
              <w:rPr>
                <w:noProof/>
                <w:webHidden/>
              </w:rPr>
              <w:instrText xml:space="preserve"> PAGEREF _Toc219706167 \h </w:instrText>
            </w:r>
            <w:r>
              <w:rPr>
                <w:noProof/>
                <w:webHidden/>
              </w:rPr>
            </w:r>
            <w:r>
              <w:rPr>
                <w:noProof/>
                <w:webHidden/>
              </w:rPr>
              <w:fldChar w:fldCharType="separate"/>
            </w:r>
            <w:r w:rsidR="00523C37">
              <w:rPr>
                <w:noProof/>
                <w:webHidden/>
              </w:rPr>
              <w:t>16</w:t>
            </w:r>
            <w:r>
              <w:rPr>
                <w:noProof/>
                <w:webHidden/>
              </w:rPr>
              <w:fldChar w:fldCharType="end"/>
            </w:r>
          </w:hyperlink>
        </w:p>
        <w:p w14:paraId="206BFDD9" w14:textId="6D5D14E7"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168" w:history="1">
            <w:r w:rsidRPr="00C525BB">
              <w:rPr>
                <w:rStyle w:val="Hyperlink"/>
                <w:noProof/>
              </w:rPr>
              <w:t>3.3 Exclusion de responsabilité</w:t>
            </w:r>
            <w:r>
              <w:rPr>
                <w:noProof/>
                <w:webHidden/>
              </w:rPr>
              <w:tab/>
            </w:r>
            <w:r>
              <w:rPr>
                <w:noProof/>
                <w:webHidden/>
              </w:rPr>
              <w:fldChar w:fldCharType="begin"/>
            </w:r>
            <w:r>
              <w:rPr>
                <w:noProof/>
                <w:webHidden/>
              </w:rPr>
              <w:instrText xml:space="preserve"> PAGEREF _Toc219706168 \h </w:instrText>
            </w:r>
            <w:r>
              <w:rPr>
                <w:noProof/>
                <w:webHidden/>
              </w:rPr>
            </w:r>
            <w:r>
              <w:rPr>
                <w:noProof/>
                <w:webHidden/>
              </w:rPr>
              <w:fldChar w:fldCharType="separate"/>
            </w:r>
            <w:r w:rsidR="00523C37">
              <w:rPr>
                <w:noProof/>
                <w:webHidden/>
              </w:rPr>
              <w:t>17</w:t>
            </w:r>
            <w:r>
              <w:rPr>
                <w:noProof/>
                <w:webHidden/>
              </w:rPr>
              <w:fldChar w:fldCharType="end"/>
            </w:r>
          </w:hyperlink>
        </w:p>
        <w:p w14:paraId="69F64426" w14:textId="5EC3D69F"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169" w:history="1">
            <w:r w:rsidRPr="00C525BB">
              <w:rPr>
                <w:rStyle w:val="Hyperlink"/>
                <w:noProof/>
                <w:lang w:val="fr-CA"/>
              </w:rPr>
              <w:t>3.4 Propriété et droits de propriété intellectuelle</w:t>
            </w:r>
            <w:r>
              <w:rPr>
                <w:noProof/>
                <w:webHidden/>
              </w:rPr>
              <w:tab/>
            </w:r>
            <w:r>
              <w:rPr>
                <w:noProof/>
                <w:webHidden/>
              </w:rPr>
              <w:fldChar w:fldCharType="begin"/>
            </w:r>
            <w:r>
              <w:rPr>
                <w:noProof/>
                <w:webHidden/>
              </w:rPr>
              <w:instrText xml:space="preserve"> PAGEREF _Toc219706169 \h </w:instrText>
            </w:r>
            <w:r>
              <w:rPr>
                <w:noProof/>
                <w:webHidden/>
              </w:rPr>
            </w:r>
            <w:r>
              <w:rPr>
                <w:noProof/>
                <w:webHidden/>
              </w:rPr>
              <w:fldChar w:fldCharType="separate"/>
            </w:r>
            <w:r w:rsidR="00523C37">
              <w:rPr>
                <w:noProof/>
                <w:webHidden/>
              </w:rPr>
              <w:t>18</w:t>
            </w:r>
            <w:r>
              <w:rPr>
                <w:noProof/>
                <w:webHidden/>
              </w:rPr>
              <w:fldChar w:fldCharType="end"/>
            </w:r>
          </w:hyperlink>
        </w:p>
        <w:p w14:paraId="27A1493D" w14:textId="01B139DF"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170" w:history="1">
            <w:r w:rsidRPr="00C525BB">
              <w:rPr>
                <w:rStyle w:val="Hyperlink"/>
                <w:noProof/>
              </w:rPr>
              <w:t>3.5 Droits de brevet</w:t>
            </w:r>
            <w:r>
              <w:rPr>
                <w:noProof/>
                <w:webHidden/>
              </w:rPr>
              <w:tab/>
            </w:r>
            <w:r>
              <w:rPr>
                <w:noProof/>
                <w:webHidden/>
              </w:rPr>
              <w:fldChar w:fldCharType="begin"/>
            </w:r>
            <w:r>
              <w:rPr>
                <w:noProof/>
                <w:webHidden/>
              </w:rPr>
              <w:instrText xml:space="preserve"> PAGEREF _Toc219706170 \h </w:instrText>
            </w:r>
            <w:r>
              <w:rPr>
                <w:noProof/>
                <w:webHidden/>
              </w:rPr>
            </w:r>
            <w:r>
              <w:rPr>
                <w:noProof/>
                <w:webHidden/>
              </w:rPr>
              <w:fldChar w:fldCharType="separate"/>
            </w:r>
            <w:r w:rsidR="00523C37">
              <w:rPr>
                <w:noProof/>
                <w:webHidden/>
              </w:rPr>
              <w:t>19</w:t>
            </w:r>
            <w:r>
              <w:rPr>
                <w:noProof/>
                <w:webHidden/>
              </w:rPr>
              <w:fldChar w:fldCharType="end"/>
            </w:r>
          </w:hyperlink>
        </w:p>
        <w:p w14:paraId="71835E0F" w14:textId="43F9D2BD"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171" w:history="1">
            <w:r w:rsidRPr="00C525BB">
              <w:rPr>
                <w:rStyle w:val="Hyperlink"/>
                <w:noProof/>
              </w:rPr>
              <w:t>3.6 Cession des droits d’auteur</w:t>
            </w:r>
            <w:r>
              <w:rPr>
                <w:noProof/>
                <w:webHidden/>
              </w:rPr>
              <w:tab/>
            </w:r>
            <w:r>
              <w:rPr>
                <w:noProof/>
                <w:webHidden/>
              </w:rPr>
              <w:fldChar w:fldCharType="begin"/>
            </w:r>
            <w:r>
              <w:rPr>
                <w:noProof/>
                <w:webHidden/>
              </w:rPr>
              <w:instrText xml:space="preserve"> PAGEREF _Toc219706171 \h </w:instrText>
            </w:r>
            <w:r>
              <w:rPr>
                <w:noProof/>
                <w:webHidden/>
              </w:rPr>
            </w:r>
            <w:r>
              <w:rPr>
                <w:noProof/>
                <w:webHidden/>
              </w:rPr>
              <w:fldChar w:fldCharType="separate"/>
            </w:r>
            <w:r w:rsidR="00523C37">
              <w:rPr>
                <w:noProof/>
                <w:webHidden/>
              </w:rPr>
              <w:t>19</w:t>
            </w:r>
            <w:r>
              <w:rPr>
                <w:noProof/>
                <w:webHidden/>
              </w:rPr>
              <w:fldChar w:fldCharType="end"/>
            </w:r>
          </w:hyperlink>
        </w:p>
        <w:p w14:paraId="57BC486E" w14:textId="30EE1836"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172" w:history="1">
            <w:r w:rsidRPr="00C525BB">
              <w:rPr>
                <w:rStyle w:val="Hyperlink"/>
                <w:noProof/>
              </w:rPr>
              <w:t>3.7 Utilisations autorisées du présent document</w:t>
            </w:r>
            <w:r>
              <w:rPr>
                <w:noProof/>
                <w:webHidden/>
              </w:rPr>
              <w:tab/>
            </w:r>
            <w:r>
              <w:rPr>
                <w:noProof/>
                <w:webHidden/>
              </w:rPr>
              <w:fldChar w:fldCharType="begin"/>
            </w:r>
            <w:r>
              <w:rPr>
                <w:noProof/>
                <w:webHidden/>
              </w:rPr>
              <w:instrText xml:space="preserve"> PAGEREF _Toc219706172 \h </w:instrText>
            </w:r>
            <w:r>
              <w:rPr>
                <w:noProof/>
                <w:webHidden/>
              </w:rPr>
            </w:r>
            <w:r>
              <w:rPr>
                <w:noProof/>
                <w:webHidden/>
              </w:rPr>
              <w:fldChar w:fldCharType="separate"/>
            </w:r>
            <w:r w:rsidR="00523C37">
              <w:rPr>
                <w:noProof/>
                <w:webHidden/>
              </w:rPr>
              <w:t>20</w:t>
            </w:r>
            <w:r>
              <w:rPr>
                <w:noProof/>
                <w:webHidden/>
              </w:rPr>
              <w:fldChar w:fldCharType="end"/>
            </w:r>
          </w:hyperlink>
        </w:p>
        <w:p w14:paraId="6D337BD9" w14:textId="2E82D685" w:rsidR="00C849C5" w:rsidRDefault="00C849C5">
          <w:pPr>
            <w:pStyle w:val="TOC1"/>
            <w:tabs>
              <w:tab w:val="right" w:leader="dot" w:pos="9350"/>
            </w:tabs>
            <w:rPr>
              <w:rFonts w:asciiTheme="minorHAnsi" w:eastAsiaTheme="minorEastAsia" w:hAnsiTheme="minorHAnsi"/>
              <w:noProof/>
              <w:sz w:val="24"/>
              <w:szCs w:val="24"/>
              <w:lang w:eastAsia="en-CA"/>
            </w:rPr>
          </w:pPr>
          <w:hyperlink w:anchor="_Toc219706173" w:history="1">
            <w:r w:rsidRPr="00C525BB">
              <w:rPr>
                <w:rStyle w:val="Hyperlink"/>
                <w:noProof/>
              </w:rPr>
              <w:t>4 Membres du comité technique</w:t>
            </w:r>
            <w:r>
              <w:rPr>
                <w:noProof/>
                <w:webHidden/>
              </w:rPr>
              <w:tab/>
            </w:r>
            <w:r>
              <w:rPr>
                <w:noProof/>
                <w:webHidden/>
              </w:rPr>
              <w:fldChar w:fldCharType="begin"/>
            </w:r>
            <w:r>
              <w:rPr>
                <w:noProof/>
                <w:webHidden/>
              </w:rPr>
              <w:instrText xml:space="preserve"> PAGEREF _Toc219706173 \h </w:instrText>
            </w:r>
            <w:r>
              <w:rPr>
                <w:noProof/>
                <w:webHidden/>
              </w:rPr>
            </w:r>
            <w:r>
              <w:rPr>
                <w:noProof/>
                <w:webHidden/>
              </w:rPr>
              <w:fldChar w:fldCharType="separate"/>
            </w:r>
            <w:r w:rsidR="00523C37">
              <w:rPr>
                <w:noProof/>
                <w:webHidden/>
              </w:rPr>
              <w:t>21</w:t>
            </w:r>
            <w:r>
              <w:rPr>
                <w:noProof/>
                <w:webHidden/>
              </w:rPr>
              <w:fldChar w:fldCharType="end"/>
            </w:r>
          </w:hyperlink>
        </w:p>
        <w:p w14:paraId="6B233681" w14:textId="233E0AA4" w:rsidR="00C849C5" w:rsidRDefault="00C849C5">
          <w:pPr>
            <w:pStyle w:val="TOC1"/>
            <w:tabs>
              <w:tab w:val="right" w:leader="dot" w:pos="9350"/>
            </w:tabs>
            <w:rPr>
              <w:rFonts w:asciiTheme="minorHAnsi" w:eastAsiaTheme="minorEastAsia" w:hAnsiTheme="minorHAnsi"/>
              <w:noProof/>
              <w:sz w:val="24"/>
              <w:szCs w:val="24"/>
              <w:lang w:eastAsia="en-CA"/>
            </w:rPr>
          </w:pPr>
          <w:hyperlink w:anchor="_Toc219706174" w:history="1">
            <w:r w:rsidRPr="00C525BB">
              <w:rPr>
                <w:rStyle w:val="Hyperlink"/>
                <w:noProof/>
                <w:lang w:val="fr-CA"/>
              </w:rPr>
              <w:t>5 Préface</w:t>
            </w:r>
            <w:r>
              <w:rPr>
                <w:noProof/>
                <w:webHidden/>
              </w:rPr>
              <w:tab/>
            </w:r>
            <w:r>
              <w:rPr>
                <w:noProof/>
                <w:webHidden/>
              </w:rPr>
              <w:fldChar w:fldCharType="begin"/>
            </w:r>
            <w:r>
              <w:rPr>
                <w:noProof/>
                <w:webHidden/>
              </w:rPr>
              <w:instrText xml:space="preserve"> PAGEREF _Toc219706174 \h </w:instrText>
            </w:r>
            <w:r>
              <w:rPr>
                <w:noProof/>
                <w:webHidden/>
              </w:rPr>
            </w:r>
            <w:r>
              <w:rPr>
                <w:noProof/>
                <w:webHidden/>
              </w:rPr>
              <w:fldChar w:fldCharType="separate"/>
            </w:r>
            <w:r w:rsidR="00523C37">
              <w:rPr>
                <w:noProof/>
                <w:webHidden/>
              </w:rPr>
              <w:t>22</w:t>
            </w:r>
            <w:r>
              <w:rPr>
                <w:noProof/>
                <w:webHidden/>
              </w:rPr>
              <w:fldChar w:fldCharType="end"/>
            </w:r>
          </w:hyperlink>
        </w:p>
        <w:p w14:paraId="40EEEAAD" w14:textId="590942B8" w:rsidR="00C849C5" w:rsidRDefault="00C849C5">
          <w:pPr>
            <w:pStyle w:val="TOC1"/>
            <w:tabs>
              <w:tab w:val="right" w:leader="dot" w:pos="9350"/>
            </w:tabs>
            <w:rPr>
              <w:rFonts w:asciiTheme="minorHAnsi" w:eastAsiaTheme="minorEastAsia" w:hAnsiTheme="minorHAnsi"/>
              <w:noProof/>
              <w:sz w:val="24"/>
              <w:szCs w:val="24"/>
              <w:lang w:eastAsia="en-CA"/>
            </w:rPr>
          </w:pPr>
          <w:hyperlink w:anchor="_Toc219706175" w:history="1">
            <w:r w:rsidRPr="00C525BB">
              <w:rPr>
                <w:rStyle w:val="Hyperlink"/>
                <w:noProof/>
              </w:rPr>
              <w:t>6 Introduction</w:t>
            </w:r>
            <w:r>
              <w:rPr>
                <w:noProof/>
                <w:webHidden/>
              </w:rPr>
              <w:tab/>
            </w:r>
            <w:r>
              <w:rPr>
                <w:noProof/>
                <w:webHidden/>
              </w:rPr>
              <w:fldChar w:fldCharType="begin"/>
            </w:r>
            <w:r>
              <w:rPr>
                <w:noProof/>
                <w:webHidden/>
              </w:rPr>
              <w:instrText xml:space="preserve"> PAGEREF _Toc219706175 \h </w:instrText>
            </w:r>
            <w:r>
              <w:rPr>
                <w:noProof/>
                <w:webHidden/>
              </w:rPr>
            </w:r>
            <w:r>
              <w:rPr>
                <w:noProof/>
                <w:webHidden/>
              </w:rPr>
              <w:fldChar w:fldCharType="separate"/>
            </w:r>
            <w:r w:rsidR="00523C37">
              <w:rPr>
                <w:noProof/>
                <w:webHidden/>
              </w:rPr>
              <w:t>23</w:t>
            </w:r>
            <w:r>
              <w:rPr>
                <w:noProof/>
                <w:webHidden/>
              </w:rPr>
              <w:fldChar w:fldCharType="end"/>
            </w:r>
          </w:hyperlink>
        </w:p>
        <w:p w14:paraId="28ADB369" w14:textId="439E9B15"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176" w:history="1">
            <w:r w:rsidRPr="00C525BB">
              <w:rPr>
                <w:rStyle w:val="Hyperlink"/>
                <w:noProof/>
              </w:rPr>
              <w:t>6.1 Contexte</w:t>
            </w:r>
            <w:r>
              <w:rPr>
                <w:noProof/>
                <w:webHidden/>
              </w:rPr>
              <w:tab/>
            </w:r>
            <w:r>
              <w:rPr>
                <w:noProof/>
                <w:webHidden/>
              </w:rPr>
              <w:fldChar w:fldCharType="begin"/>
            </w:r>
            <w:r>
              <w:rPr>
                <w:noProof/>
                <w:webHidden/>
              </w:rPr>
              <w:instrText xml:space="preserve"> PAGEREF _Toc219706176 \h </w:instrText>
            </w:r>
            <w:r>
              <w:rPr>
                <w:noProof/>
                <w:webHidden/>
              </w:rPr>
            </w:r>
            <w:r>
              <w:rPr>
                <w:noProof/>
                <w:webHidden/>
              </w:rPr>
              <w:fldChar w:fldCharType="separate"/>
            </w:r>
            <w:r w:rsidR="00523C37">
              <w:rPr>
                <w:noProof/>
                <w:webHidden/>
              </w:rPr>
              <w:t>23</w:t>
            </w:r>
            <w:r>
              <w:rPr>
                <w:noProof/>
                <w:webHidden/>
              </w:rPr>
              <w:fldChar w:fldCharType="end"/>
            </w:r>
          </w:hyperlink>
        </w:p>
        <w:p w14:paraId="2AC87E57" w14:textId="4ECD8187"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177" w:history="1">
            <w:r w:rsidRPr="00C525BB">
              <w:rPr>
                <w:rStyle w:val="Hyperlink"/>
                <w:noProof/>
              </w:rPr>
              <w:t>6.2 Principes directeurs</w:t>
            </w:r>
            <w:r>
              <w:rPr>
                <w:noProof/>
                <w:webHidden/>
              </w:rPr>
              <w:tab/>
            </w:r>
            <w:r>
              <w:rPr>
                <w:noProof/>
                <w:webHidden/>
              </w:rPr>
              <w:fldChar w:fldCharType="begin"/>
            </w:r>
            <w:r>
              <w:rPr>
                <w:noProof/>
                <w:webHidden/>
              </w:rPr>
              <w:instrText xml:space="preserve"> PAGEREF _Toc219706177 \h </w:instrText>
            </w:r>
            <w:r>
              <w:rPr>
                <w:noProof/>
                <w:webHidden/>
              </w:rPr>
            </w:r>
            <w:r>
              <w:rPr>
                <w:noProof/>
                <w:webHidden/>
              </w:rPr>
              <w:fldChar w:fldCharType="separate"/>
            </w:r>
            <w:r w:rsidR="00523C37">
              <w:rPr>
                <w:noProof/>
                <w:webHidden/>
              </w:rPr>
              <w:t>24</w:t>
            </w:r>
            <w:r>
              <w:rPr>
                <w:noProof/>
                <w:webHidden/>
              </w:rPr>
              <w:fldChar w:fldCharType="end"/>
            </w:r>
          </w:hyperlink>
        </w:p>
        <w:p w14:paraId="68A3961C" w14:textId="57B7E719" w:rsidR="00C849C5" w:rsidRDefault="00C849C5">
          <w:pPr>
            <w:pStyle w:val="TOC1"/>
            <w:tabs>
              <w:tab w:val="right" w:leader="dot" w:pos="9350"/>
            </w:tabs>
            <w:rPr>
              <w:rFonts w:asciiTheme="minorHAnsi" w:eastAsiaTheme="minorEastAsia" w:hAnsiTheme="minorHAnsi"/>
              <w:noProof/>
              <w:sz w:val="24"/>
              <w:szCs w:val="24"/>
              <w:lang w:eastAsia="en-CA"/>
            </w:rPr>
          </w:pPr>
          <w:hyperlink w:anchor="_Toc219706178" w:history="1">
            <w:r w:rsidRPr="00C525BB">
              <w:rPr>
                <w:rStyle w:val="Hyperlink"/>
                <w:noProof/>
              </w:rPr>
              <w:t>7 Portée</w:t>
            </w:r>
            <w:r>
              <w:rPr>
                <w:noProof/>
                <w:webHidden/>
              </w:rPr>
              <w:tab/>
            </w:r>
            <w:r>
              <w:rPr>
                <w:noProof/>
                <w:webHidden/>
              </w:rPr>
              <w:fldChar w:fldCharType="begin"/>
            </w:r>
            <w:r>
              <w:rPr>
                <w:noProof/>
                <w:webHidden/>
              </w:rPr>
              <w:instrText xml:space="preserve"> PAGEREF _Toc219706178 \h </w:instrText>
            </w:r>
            <w:r>
              <w:rPr>
                <w:noProof/>
                <w:webHidden/>
              </w:rPr>
            </w:r>
            <w:r>
              <w:rPr>
                <w:noProof/>
                <w:webHidden/>
              </w:rPr>
              <w:fldChar w:fldCharType="separate"/>
            </w:r>
            <w:r w:rsidR="00523C37">
              <w:rPr>
                <w:noProof/>
                <w:webHidden/>
              </w:rPr>
              <w:t>27</w:t>
            </w:r>
            <w:r>
              <w:rPr>
                <w:noProof/>
                <w:webHidden/>
              </w:rPr>
              <w:fldChar w:fldCharType="end"/>
            </w:r>
          </w:hyperlink>
        </w:p>
        <w:p w14:paraId="66C2AD73" w14:textId="254E9AF4"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179" w:history="1">
            <w:r w:rsidRPr="00C525BB">
              <w:rPr>
                <w:rStyle w:val="Hyperlink"/>
                <w:noProof/>
              </w:rPr>
              <w:t>7.1 Général</w:t>
            </w:r>
            <w:r>
              <w:rPr>
                <w:noProof/>
                <w:webHidden/>
              </w:rPr>
              <w:tab/>
            </w:r>
            <w:r>
              <w:rPr>
                <w:noProof/>
                <w:webHidden/>
              </w:rPr>
              <w:fldChar w:fldCharType="begin"/>
            </w:r>
            <w:r>
              <w:rPr>
                <w:noProof/>
                <w:webHidden/>
              </w:rPr>
              <w:instrText xml:space="preserve"> PAGEREF _Toc219706179 \h </w:instrText>
            </w:r>
            <w:r>
              <w:rPr>
                <w:noProof/>
                <w:webHidden/>
              </w:rPr>
            </w:r>
            <w:r>
              <w:rPr>
                <w:noProof/>
                <w:webHidden/>
              </w:rPr>
              <w:fldChar w:fldCharType="separate"/>
            </w:r>
            <w:r w:rsidR="00523C37">
              <w:rPr>
                <w:noProof/>
                <w:webHidden/>
              </w:rPr>
              <w:t>27</w:t>
            </w:r>
            <w:r>
              <w:rPr>
                <w:noProof/>
                <w:webHidden/>
              </w:rPr>
              <w:fldChar w:fldCharType="end"/>
            </w:r>
          </w:hyperlink>
        </w:p>
        <w:p w14:paraId="55850997" w14:textId="6FC4A461"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180" w:history="1">
            <w:r w:rsidRPr="00C525BB">
              <w:rPr>
                <w:rStyle w:val="Hyperlink"/>
                <w:noProof/>
              </w:rPr>
              <w:t>7.2 Inclusions</w:t>
            </w:r>
            <w:r>
              <w:rPr>
                <w:noProof/>
                <w:webHidden/>
              </w:rPr>
              <w:tab/>
            </w:r>
            <w:r>
              <w:rPr>
                <w:noProof/>
                <w:webHidden/>
              </w:rPr>
              <w:fldChar w:fldCharType="begin"/>
            </w:r>
            <w:r>
              <w:rPr>
                <w:noProof/>
                <w:webHidden/>
              </w:rPr>
              <w:instrText xml:space="preserve"> PAGEREF _Toc219706180 \h </w:instrText>
            </w:r>
            <w:r>
              <w:rPr>
                <w:noProof/>
                <w:webHidden/>
              </w:rPr>
            </w:r>
            <w:r>
              <w:rPr>
                <w:noProof/>
                <w:webHidden/>
              </w:rPr>
              <w:fldChar w:fldCharType="separate"/>
            </w:r>
            <w:r w:rsidR="00523C37">
              <w:rPr>
                <w:noProof/>
                <w:webHidden/>
              </w:rPr>
              <w:t>28</w:t>
            </w:r>
            <w:r>
              <w:rPr>
                <w:noProof/>
                <w:webHidden/>
              </w:rPr>
              <w:fldChar w:fldCharType="end"/>
            </w:r>
          </w:hyperlink>
        </w:p>
        <w:p w14:paraId="6BCDC683" w14:textId="7B7E9093"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181" w:history="1">
            <w:r w:rsidRPr="00C525BB">
              <w:rPr>
                <w:rStyle w:val="Hyperlink"/>
                <w:noProof/>
              </w:rPr>
              <w:t>7.3 Exclusions</w:t>
            </w:r>
            <w:r>
              <w:rPr>
                <w:noProof/>
                <w:webHidden/>
              </w:rPr>
              <w:tab/>
            </w:r>
            <w:r>
              <w:rPr>
                <w:noProof/>
                <w:webHidden/>
              </w:rPr>
              <w:fldChar w:fldCharType="begin"/>
            </w:r>
            <w:r>
              <w:rPr>
                <w:noProof/>
                <w:webHidden/>
              </w:rPr>
              <w:instrText xml:space="preserve"> PAGEREF _Toc219706181 \h </w:instrText>
            </w:r>
            <w:r>
              <w:rPr>
                <w:noProof/>
                <w:webHidden/>
              </w:rPr>
            </w:r>
            <w:r>
              <w:rPr>
                <w:noProof/>
                <w:webHidden/>
              </w:rPr>
              <w:fldChar w:fldCharType="separate"/>
            </w:r>
            <w:r w:rsidR="00523C37">
              <w:rPr>
                <w:noProof/>
                <w:webHidden/>
              </w:rPr>
              <w:t>28</w:t>
            </w:r>
            <w:r>
              <w:rPr>
                <w:noProof/>
                <w:webHidden/>
              </w:rPr>
              <w:fldChar w:fldCharType="end"/>
            </w:r>
          </w:hyperlink>
        </w:p>
        <w:p w14:paraId="50457591" w14:textId="7F8A2425"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182" w:history="1">
            <w:r w:rsidRPr="00C525BB">
              <w:rPr>
                <w:rStyle w:val="Hyperlink"/>
                <w:noProof/>
                <w:lang w:val="fr-CA"/>
              </w:rPr>
              <w:t>7.4</w:t>
            </w:r>
            <w:r w:rsidRPr="00C525BB">
              <w:rPr>
                <w:rStyle w:val="Hyperlink"/>
                <w:noProof/>
              </w:rPr>
              <w:t xml:space="preserve"> </w:t>
            </w:r>
            <w:r w:rsidRPr="00C525BB">
              <w:rPr>
                <w:rStyle w:val="Hyperlink"/>
                <w:noProof/>
                <w:lang w:val="fr-CA"/>
              </w:rPr>
              <w:t>Terminologie</w:t>
            </w:r>
            <w:r>
              <w:rPr>
                <w:noProof/>
                <w:webHidden/>
              </w:rPr>
              <w:tab/>
            </w:r>
            <w:r>
              <w:rPr>
                <w:noProof/>
                <w:webHidden/>
              </w:rPr>
              <w:fldChar w:fldCharType="begin"/>
            </w:r>
            <w:r>
              <w:rPr>
                <w:noProof/>
                <w:webHidden/>
              </w:rPr>
              <w:instrText xml:space="preserve"> PAGEREF _Toc219706182 \h </w:instrText>
            </w:r>
            <w:r>
              <w:rPr>
                <w:noProof/>
                <w:webHidden/>
              </w:rPr>
            </w:r>
            <w:r>
              <w:rPr>
                <w:noProof/>
                <w:webHidden/>
              </w:rPr>
              <w:fldChar w:fldCharType="separate"/>
            </w:r>
            <w:r w:rsidR="00523C37">
              <w:rPr>
                <w:noProof/>
                <w:webHidden/>
              </w:rPr>
              <w:t>29</w:t>
            </w:r>
            <w:r>
              <w:rPr>
                <w:noProof/>
                <w:webHidden/>
              </w:rPr>
              <w:fldChar w:fldCharType="end"/>
            </w:r>
          </w:hyperlink>
        </w:p>
        <w:p w14:paraId="13BC1DC3" w14:textId="2F18EF5E" w:rsidR="00C849C5" w:rsidRDefault="00C849C5">
          <w:pPr>
            <w:pStyle w:val="TOC1"/>
            <w:tabs>
              <w:tab w:val="right" w:leader="dot" w:pos="9350"/>
            </w:tabs>
            <w:rPr>
              <w:rFonts w:asciiTheme="minorHAnsi" w:eastAsiaTheme="minorEastAsia" w:hAnsiTheme="minorHAnsi"/>
              <w:noProof/>
              <w:sz w:val="24"/>
              <w:szCs w:val="24"/>
              <w:lang w:eastAsia="en-CA"/>
            </w:rPr>
          </w:pPr>
          <w:hyperlink w:anchor="_Toc219706183" w:history="1">
            <w:r w:rsidRPr="00C525BB">
              <w:rPr>
                <w:rStyle w:val="Hyperlink"/>
                <w:noProof/>
              </w:rPr>
              <w:t>8 Références</w:t>
            </w:r>
            <w:r>
              <w:rPr>
                <w:noProof/>
                <w:webHidden/>
              </w:rPr>
              <w:tab/>
            </w:r>
            <w:r>
              <w:rPr>
                <w:noProof/>
                <w:webHidden/>
              </w:rPr>
              <w:fldChar w:fldCharType="begin"/>
            </w:r>
            <w:r>
              <w:rPr>
                <w:noProof/>
                <w:webHidden/>
              </w:rPr>
              <w:instrText xml:space="preserve"> PAGEREF _Toc219706183 \h </w:instrText>
            </w:r>
            <w:r>
              <w:rPr>
                <w:noProof/>
                <w:webHidden/>
              </w:rPr>
            </w:r>
            <w:r>
              <w:rPr>
                <w:noProof/>
                <w:webHidden/>
              </w:rPr>
              <w:fldChar w:fldCharType="separate"/>
            </w:r>
            <w:r w:rsidR="00523C37">
              <w:rPr>
                <w:noProof/>
                <w:webHidden/>
              </w:rPr>
              <w:t>30</w:t>
            </w:r>
            <w:r>
              <w:rPr>
                <w:noProof/>
                <w:webHidden/>
              </w:rPr>
              <w:fldChar w:fldCharType="end"/>
            </w:r>
          </w:hyperlink>
        </w:p>
        <w:p w14:paraId="32CE6C66" w14:textId="299A5631" w:rsidR="00C849C5" w:rsidRDefault="00C849C5">
          <w:pPr>
            <w:pStyle w:val="TOC1"/>
            <w:tabs>
              <w:tab w:val="right" w:leader="dot" w:pos="9350"/>
            </w:tabs>
            <w:rPr>
              <w:rFonts w:asciiTheme="minorHAnsi" w:eastAsiaTheme="minorEastAsia" w:hAnsiTheme="minorHAnsi"/>
              <w:noProof/>
              <w:sz w:val="24"/>
              <w:szCs w:val="24"/>
              <w:lang w:eastAsia="en-CA"/>
            </w:rPr>
          </w:pPr>
          <w:hyperlink w:anchor="_Toc219706184" w:history="1">
            <w:r w:rsidRPr="00C525BB">
              <w:rPr>
                <w:rStyle w:val="Hyperlink"/>
                <w:noProof/>
              </w:rPr>
              <w:t>9 Définitions, symboles et abréviations</w:t>
            </w:r>
            <w:r>
              <w:rPr>
                <w:noProof/>
                <w:webHidden/>
              </w:rPr>
              <w:tab/>
            </w:r>
            <w:r>
              <w:rPr>
                <w:noProof/>
                <w:webHidden/>
              </w:rPr>
              <w:fldChar w:fldCharType="begin"/>
            </w:r>
            <w:r>
              <w:rPr>
                <w:noProof/>
                <w:webHidden/>
              </w:rPr>
              <w:instrText xml:space="preserve"> PAGEREF _Toc219706184 \h </w:instrText>
            </w:r>
            <w:r>
              <w:rPr>
                <w:noProof/>
                <w:webHidden/>
              </w:rPr>
            </w:r>
            <w:r>
              <w:rPr>
                <w:noProof/>
                <w:webHidden/>
              </w:rPr>
              <w:fldChar w:fldCharType="separate"/>
            </w:r>
            <w:r w:rsidR="00523C37">
              <w:rPr>
                <w:noProof/>
                <w:webHidden/>
              </w:rPr>
              <w:t>31</w:t>
            </w:r>
            <w:r>
              <w:rPr>
                <w:noProof/>
                <w:webHidden/>
              </w:rPr>
              <w:fldChar w:fldCharType="end"/>
            </w:r>
          </w:hyperlink>
        </w:p>
        <w:p w14:paraId="3421657D" w14:textId="6D2567C6"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185" w:history="1">
            <w:r w:rsidRPr="00C525BB">
              <w:rPr>
                <w:rStyle w:val="Hyperlink"/>
                <w:noProof/>
              </w:rPr>
              <w:t>9.1 Définitions</w:t>
            </w:r>
            <w:r>
              <w:rPr>
                <w:noProof/>
                <w:webHidden/>
              </w:rPr>
              <w:tab/>
            </w:r>
            <w:r>
              <w:rPr>
                <w:noProof/>
                <w:webHidden/>
              </w:rPr>
              <w:fldChar w:fldCharType="begin"/>
            </w:r>
            <w:r>
              <w:rPr>
                <w:noProof/>
                <w:webHidden/>
              </w:rPr>
              <w:instrText xml:space="preserve"> PAGEREF _Toc219706185 \h </w:instrText>
            </w:r>
            <w:r>
              <w:rPr>
                <w:noProof/>
                <w:webHidden/>
              </w:rPr>
            </w:r>
            <w:r>
              <w:rPr>
                <w:noProof/>
                <w:webHidden/>
              </w:rPr>
              <w:fldChar w:fldCharType="separate"/>
            </w:r>
            <w:r w:rsidR="00523C37">
              <w:rPr>
                <w:noProof/>
                <w:webHidden/>
              </w:rPr>
              <w:t>31</w:t>
            </w:r>
            <w:r>
              <w:rPr>
                <w:noProof/>
                <w:webHidden/>
              </w:rPr>
              <w:fldChar w:fldCharType="end"/>
            </w:r>
          </w:hyperlink>
        </w:p>
        <w:p w14:paraId="003F3D7D" w14:textId="2C339A85"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186" w:history="1">
            <w:r w:rsidRPr="00C525BB">
              <w:rPr>
                <w:rStyle w:val="Hyperlink"/>
                <w:noProof/>
              </w:rPr>
              <w:t>9.2 Abréviations</w:t>
            </w:r>
            <w:r>
              <w:rPr>
                <w:noProof/>
                <w:webHidden/>
              </w:rPr>
              <w:tab/>
            </w:r>
            <w:r>
              <w:rPr>
                <w:noProof/>
                <w:webHidden/>
              </w:rPr>
              <w:fldChar w:fldCharType="begin"/>
            </w:r>
            <w:r>
              <w:rPr>
                <w:noProof/>
                <w:webHidden/>
              </w:rPr>
              <w:instrText xml:space="preserve"> PAGEREF _Toc219706186 \h </w:instrText>
            </w:r>
            <w:r>
              <w:rPr>
                <w:noProof/>
                <w:webHidden/>
              </w:rPr>
            </w:r>
            <w:r>
              <w:rPr>
                <w:noProof/>
                <w:webHidden/>
              </w:rPr>
              <w:fldChar w:fldCharType="separate"/>
            </w:r>
            <w:r w:rsidR="00523C37">
              <w:rPr>
                <w:noProof/>
                <w:webHidden/>
              </w:rPr>
              <w:t>36</w:t>
            </w:r>
            <w:r>
              <w:rPr>
                <w:noProof/>
                <w:webHidden/>
              </w:rPr>
              <w:fldChar w:fldCharType="end"/>
            </w:r>
          </w:hyperlink>
        </w:p>
        <w:p w14:paraId="1526860E" w14:textId="5348453D" w:rsidR="00C849C5" w:rsidRDefault="00C849C5">
          <w:pPr>
            <w:pStyle w:val="TOC1"/>
            <w:tabs>
              <w:tab w:val="right" w:leader="dot" w:pos="9350"/>
            </w:tabs>
            <w:rPr>
              <w:rFonts w:asciiTheme="minorHAnsi" w:eastAsiaTheme="minorEastAsia" w:hAnsiTheme="minorHAnsi"/>
              <w:noProof/>
              <w:sz w:val="24"/>
              <w:szCs w:val="24"/>
              <w:lang w:eastAsia="en-CA"/>
            </w:rPr>
          </w:pPr>
          <w:hyperlink w:anchor="_Toc219706187" w:history="1">
            <w:r w:rsidRPr="00C525BB">
              <w:rPr>
                <w:rStyle w:val="Hyperlink"/>
                <w:noProof/>
                <w:lang w:val="fr-CA"/>
              </w:rPr>
              <w:t>10 Exigences générales pour l’éclairage et le contraste</w:t>
            </w:r>
            <w:r>
              <w:rPr>
                <w:noProof/>
                <w:webHidden/>
              </w:rPr>
              <w:tab/>
            </w:r>
            <w:r>
              <w:rPr>
                <w:noProof/>
                <w:webHidden/>
              </w:rPr>
              <w:fldChar w:fldCharType="begin"/>
            </w:r>
            <w:r>
              <w:rPr>
                <w:noProof/>
                <w:webHidden/>
              </w:rPr>
              <w:instrText xml:space="preserve"> PAGEREF _Toc219706187 \h </w:instrText>
            </w:r>
            <w:r>
              <w:rPr>
                <w:noProof/>
                <w:webHidden/>
              </w:rPr>
            </w:r>
            <w:r>
              <w:rPr>
                <w:noProof/>
                <w:webHidden/>
              </w:rPr>
              <w:fldChar w:fldCharType="separate"/>
            </w:r>
            <w:r w:rsidR="00523C37">
              <w:rPr>
                <w:noProof/>
                <w:webHidden/>
              </w:rPr>
              <w:t>38</w:t>
            </w:r>
            <w:r>
              <w:rPr>
                <w:noProof/>
                <w:webHidden/>
              </w:rPr>
              <w:fldChar w:fldCharType="end"/>
            </w:r>
          </w:hyperlink>
        </w:p>
        <w:p w14:paraId="01F18FEC" w14:textId="3231084C"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188" w:history="1">
            <w:r w:rsidRPr="00C525BB">
              <w:rPr>
                <w:rStyle w:val="Hyperlink"/>
                <w:noProof/>
              </w:rPr>
              <w:t>10.1 Éclairage</w:t>
            </w:r>
            <w:r>
              <w:rPr>
                <w:noProof/>
                <w:webHidden/>
              </w:rPr>
              <w:tab/>
            </w:r>
            <w:r>
              <w:rPr>
                <w:noProof/>
                <w:webHidden/>
              </w:rPr>
              <w:fldChar w:fldCharType="begin"/>
            </w:r>
            <w:r>
              <w:rPr>
                <w:noProof/>
                <w:webHidden/>
              </w:rPr>
              <w:instrText xml:space="preserve"> PAGEREF _Toc219706188 \h </w:instrText>
            </w:r>
            <w:r>
              <w:rPr>
                <w:noProof/>
                <w:webHidden/>
              </w:rPr>
            </w:r>
            <w:r>
              <w:rPr>
                <w:noProof/>
                <w:webHidden/>
              </w:rPr>
              <w:fldChar w:fldCharType="separate"/>
            </w:r>
            <w:r w:rsidR="00523C37">
              <w:rPr>
                <w:noProof/>
                <w:webHidden/>
              </w:rPr>
              <w:t>38</w:t>
            </w:r>
            <w:r>
              <w:rPr>
                <w:noProof/>
                <w:webHidden/>
              </w:rPr>
              <w:fldChar w:fldCharType="end"/>
            </w:r>
          </w:hyperlink>
        </w:p>
        <w:p w14:paraId="2B2B017F" w14:textId="12E9A72A"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189" w:history="1">
            <w:r w:rsidRPr="00C525BB">
              <w:rPr>
                <w:rStyle w:val="Hyperlink"/>
                <w:noProof/>
              </w:rPr>
              <w:t>10.1.1 Application</w:t>
            </w:r>
            <w:r>
              <w:rPr>
                <w:noProof/>
                <w:webHidden/>
              </w:rPr>
              <w:tab/>
            </w:r>
            <w:r>
              <w:rPr>
                <w:noProof/>
                <w:webHidden/>
              </w:rPr>
              <w:fldChar w:fldCharType="begin"/>
            </w:r>
            <w:r>
              <w:rPr>
                <w:noProof/>
                <w:webHidden/>
              </w:rPr>
              <w:instrText xml:space="preserve"> PAGEREF _Toc219706189 \h </w:instrText>
            </w:r>
            <w:r>
              <w:rPr>
                <w:noProof/>
                <w:webHidden/>
              </w:rPr>
            </w:r>
            <w:r>
              <w:rPr>
                <w:noProof/>
                <w:webHidden/>
              </w:rPr>
              <w:fldChar w:fldCharType="separate"/>
            </w:r>
            <w:r w:rsidR="00523C37">
              <w:rPr>
                <w:noProof/>
                <w:webHidden/>
              </w:rPr>
              <w:t>39</w:t>
            </w:r>
            <w:r>
              <w:rPr>
                <w:noProof/>
                <w:webHidden/>
              </w:rPr>
              <w:fldChar w:fldCharType="end"/>
            </w:r>
          </w:hyperlink>
        </w:p>
        <w:p w14:paraId="2BE529FB" w14:textId="6F7C6EAF"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190" w:history="1">
            <w:r w:rsidRPr="00C525BB">
              <w:rPr>
                <w:rStyle w:val="Hyperlink"/>
                <w:noProof/>
              </w:rPr>
              <w:t>10.1.2 Conception générale de l’éclairage</w:t>
            </w:r>
            <w:r>
              <w:rPr>
                <w:noProof/>
                <w:webHidden/>
              </w:rPr>
              <w:tab/>
            </w:r>
            <w:r>
              <w:rPr>
                <w:noProof/>
                <w:webHidden/>
              </w:rPr>
              <w:fldChar w:fldCharType="begin"/>
            </w:r>
            <w:r>
              <w:rPr>
                <w:noProof/>
                <w:webHidden/>
              </w:rPr>
              <w:instrText xml:space="preserve"> PAGEREF _Toc219706190 \h </w:instrText>
            </w:r>
            <w:r>
              <w:rPr>
                <w:noProof/>
                <w:webHidden/>
              </w:rPr>
            </w:r>
            <w:r>
              <w:rPr>
                <w:noProof/>
                <w:webHidden/>
              </w:rPr>
              <w:fldChar w:fldCharType="separate"/>
            </w:r>
            <w:r w:rsidR="00523C37">
              <w:rPr>
                <w:noProof/>
                <w:webHidden/>
              </w:rPr>
              <w:t>39</w:t>
            </w:r>
            <w:r>
              <w:rPr>
                <w:noProof/>
                <w:webHidden/>
              </w:rPr>
              <w:fldChar w:fldCharType="end"/>
            </w:r>
          </w:hyperlink>
        </w:p>
        <w:p w14:paraId="118851B9" w14:textId="5CDADBFA"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191" w:history="1">
            <w:r w:rsidRPr="00C525BB">
              <w:rPr>
                <w:rStyle w:val="Hyperlink"/>
                <w:noProof/>
              </w:rPr>
              <w:t>10.1.3</w:t>
            </w:r>
            <w:r w:rsidRPr="00C525BB">
              <w:rPr>
                <w:rStyle w:val="Hyperlink"/>
                <w:rFonts w:cs="Arial"/>
                <w:noProof/>
              </w:rPr>
              <w:t xml:space="preserve"> É</w:t>
            </w:r>
            <w:r w:rsidRPr="00C525BB">
              <w:rPr>
                <w:rStyle w:val="Hyperlink"/>
                <w:noProof/>
              </w:rPr>
              <w:t>blouissement et ombre</w:t>
            </w:r>
            <w:r>
              <w:rPr>
                <w:noProof/>
                <w:webHidden/>
              </w:rPr>
              <w:tab/>
            </w:r>
            <w:r>
              <w:rPr>
                <w:noProof/>
                <w:webHidden/>
              </w:rPr>
              <w:fldChar w:fldCharType="begin"/>
            </w:r>
            <w:r>
              <w:rPr>
                <w:noProof/>
                <w:webHidden/>
              </w:rPr>
              <w:instrText xml:space="preserve"> PAGEREF _Toc219706191 \h </w:instrText>
            </w:r>
            <w:r>
              <w:rPr>
                <w:noProof/>
                <w:webHidden/>
              </w:rPr>
            </w:r>
            <w:r>
              <w:rPr>
                <w:noProof/>
                <w:webHidden/>
              </w:rPr>
              <w:fldChar w:fldCharType="separate"/>
            </w:r>
            <w:r w:rsidR="00523C37">
              <w:rPr>
                <w:noProof/>
                <w:webHidden/>
              </w:rPr>
              <w:t>40</w:t>
            </w:r>
            <w:r>
              <w:rPr>
                <w:noProof/>
                <w:webHidden/>
              </w:rPr>
              <w:fldChar w:fldCharType="end"/>
            </w:r>
          </w:hyperlink>
        </w:p>
        <w:p w14:paraId="35B3E5A3" w14:textId="3DC18744"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192" w:history="1">
            <w:r w:rsidRPr="00C525BB">
              <w:rPr>
                <w:rStyle w:val="Hyperlink"/>
                <w:noProof/>
              </w:rPr>
              <w:t>10.1.4</w:t>
            </w:r>
            <w:r w:rsidRPr="00C525BB">
              <w:rPr>
                <w:rStyle w:val="Hyperlink"/>
                <w:rFonts w:cs="Arial"/>
                <w:noProof/>
              </w:rPr>
              <w:t xml:space="preserve"> É</w:t>
            </w:r>
            <w:r w:rsidRPr="00C525BB">
              <w:rPr>
                <w:rStyle w:val="Hyperlink"/>
                <w:noProof/>
              </w:rPr>
              <w:t>clairage intérieur</w:t>
            </w:r>
            <w:r>
              <w:rPr>
                <w:noProof/>
                <w:webHidden/>
              </w:rPr>
              <w:tab/>
            </w:r>
            <w:r>
              <w:rPr>
                <w:noProof/>
                <w:webHidden/>
              </w:rPr>
              <w:fldChar w:fldCharType="begin"/>
            </w:r>
            <w:r>
              <w:rPr>
                <w:noProof/>
                <w:webHidden/>
              </w:rPr>
              <w:instrText xml:space="preserve"> PAGEREF _Toc219706192 \h </w:instrText>
            </w:r>
            <w:r>
              <w:rPr>
                <w:noProof/>
                <w:webHidden/>
              </w:rPr>
            </w:r>
            <w:r>
              <w:rPr>
                <w:noProof/>
                <w:webHidden/>
              </w:rPr>
              <w:fldChar w:fldCharType="separate"/>
            </w:r>
            <w:r w:rsidR="00523C37">
              <w:rPr>
                <w:noProof/>
                <w:webHidden/>
              </w:rPr>
              <w:t>42</w:t>
            </w:r>
            <w:r>
              <w:rPr>
                <w:noProof/>
                <w:webHidden/>
              </w:rPr>
              <w:fldChar w:fldCharType="end"/>
            </w:r>
          </w:hyperlink>
        </w:p>
        <w:p w14:paraId="517D5B9E" w14:textId="26F45E2D"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193" w:history="1">
            <w:r w:rsidRPr="00C525BB">
              <w:rPr>
                <w:rStyle w:val="Hyperlink"/>
                <w:noProof/>
              </w:rPr>
              <w:t>10.1.5 Éclairage extérieur</w:t>
            </w:r>
            <w:r>
              <w:rPr>
                <w:noProof/>
                <w:webHidden/>
              </w:rPr>
              <w:tab/>
            </w:r>
            <w:r>
              <w:rPr>
                <w:noProof/>
                <w:webHidden/>
              </w:rPr>
              <w:fldChar w:fldCharType="begin"/>
            </w:r>
            <w:r>
              <w:rPr>
                <w:noProof/>
                <w:webHidden/>
              </w:rPr>
              <w:instrText xml:space="preserve"> PAGEREF _Toc219706193 \h </w:instrText>
            </w:r>
            <w:r>
              <w:rPr>
                <w:noProof/>
                <w:webHidden/>
              </w:rPr>
            </w:r>
            <w:r>
              <w:rPr>
                <w:noProof/>
                <w:webHidden/>
              </w:rPr>
              <w:fldChar w:fldCharType="separate"/>
            </w:r>
            <w:r w:rsidR="00523C37">
              <w:rPr>
                <w:noProof/>
                <w:webHidden/>
              </w:rPr>
              <w:t>44</w:t>
            </w:r>
            <w:r>
              <w:rPr>
                <w:noProof/>
                <w:webHidden/>
              </w:rPr>
              <w:fldChar w:fldCharType="end"/>
            </w:r>
          </w:hyperlink>
        </w:p>
        <w:p w14:paraId="5130A3CC" w14:textId="0B75A0A4"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194" w:history="1">
            <w:r w:rsidRPr="00C525BB">
              <w:rPr>
                <w:rStyle w:val="Hyperlink"/>
                <w:noProof/>
              </w:rPr>
              <w:t>10.2 Contraste de luminance</w:t>
            </w:r>
            <w:r>
              <w:rPr>
                <w:noProof/>
                <w:webHidden/>
              </w:rPr>
              <w:tab/>
            </w:r>
            <w:r>
              <w:rPr>
                <w:noProof/>
                <w:webHidden/>
              </w:rPr>
              <w:fldChar w:fldCharType="begin"/>
            </w:r>
            <w:r>
              <w:rPr>
                <w:noProof/>
                <w:webHidden/>
              </w:rPr>
              <w:instrText xml:space="preserve"> PAGEREF _Toc219706194 \h </w:instrText>
            </w:r>
            <w:r>
              <w:rPr>
                <w:noProof/>
                <w:webHidden/>
              </w:rPr>
            </w:r>
            <w:r>
              <w:rPr>
                <w:noProof/>
                <w:webHidden/>
              </w:rPr>
              <w:fldChar w:fldCharType="separate"/>
            </w:r>
            <w:r w:rsidR="00523C37">
              <w:rPr>
                <w:noProof/>
                <w:webHidden/>
              </w:rPr>
              <w:t>44</w:t>
            </w:r>
            <w:r>
              <w:rPr>
                <w:noProof/>
                <w:webHidden/>
              </w:rPr>
              <w:fldChar w:fldCharType="end"/>
            </w:r>
          </w:hyperlink>
        </w:p>
        <w:p w14:paraId="5208BC6C" w14:textId="789B0F55"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195" w:history="1">
            <w:r w:rsidRPr="00C525BB">
              <w:rPr>
                <w:rStyle w:val="Hyperlink"/>
                <w:noProof/>
              </w:rPr>
              <w:t>10.2.1 Exigences générales</w:t>
            </w:r>
            <w:r>
              <w:rPr>
                <w:noProof/>
                <w:webHidden/>
              </w:rPr>
              <w:tab/>
            </w:r>
            <w:r>
              <w:rPr>
                <w:noProof/>
                <w:webHidden/>
              </w:rPr>
              <w:fldChar w:fldCharType="begin"/>
            </w:r>
            <w:r>
              <w:rPr>
                <w:noProof/>
                <w:webHidden/>
              </w:rPr>
              <w:instrText xml:space="preserve"> PAGEREF _Toc219706195 \h </w:instrText>
            </w:r>
            <w:r>
              <w:rPr>
                <w:noProof/>
                <w:webHidden/>
              </w:rPr>
            </w:r>
            <w:r>
              <w:rPr>
                <w:noProof/>
                <w:webHidden/>
              </w:rPr>
              <w:fldChar w:fldCharType="separate"/>
            </w:r>
            <w:r w:rsidR="00523C37">
              <w:rPr>
                <w:noProof/>
                <w:webHidden/>
              </w:rPr>
              <w:t>46</w:t>
            </w:r>
            <w:r>
              <w:rPr>
                <w:noProof/>
                <w:webHidden/>
              </w:rPr>
              <w:fldChar w:fldCharType="end"/>
            </w:r>
          </w:hyperlink>
        </w:p>
        <w:p w14:paraId="343169FB" w14:textId="5E1817D4"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196" w:history="1">
            <w:r w:rsidRPr="00C525BB">
              <w:rPr>
                <w:rStyle w:val="Hyperlink"/>
                <w:noProof/>
                <w:lang w:val="fr-CA"/>
              </w:rPr>
              <w:t>10.2.2 Contraste de luminance des matériaux brillants</w:t>
            </w:r>
            <w:r>
              <w:rPr>
                <w:noProof/>
                <w:webHidden/>
              </w:rPr>
              <w:tab/>
            </w:r>
            <w:r>
              <w:rPr>
                <w:noProof/>
                <w:webHidden/>
              </w:rPr>
              <w:fldChar w:fldCharType="begin"/>
            </w:r>
            <w:r>
              <w:rPr>
                <w:noProof/>
                <w:webHidden/>
              </w:rPr>
              <w:instrText xml:space="preserve"> PAGEREF _Toc219706196 \h </w:instrText>
            </w:r>
            <w:r>
              <w:rPr>
                <w:noProof/>
                <w:webHidden/>
              </w:rPr>
            </w:r>
            <w:r>
              <w:rPr>
                <w:noProof/>
                <w:webHidden/>
              </w:rPr>
              <w:fldChar w:fldCharType="separate"/>
            </w:r>
            <w:r w:rsidR="00523C37">
              <w:rPr>
                <w:noProof/>
                <w:webHidden/>
              </w:rPr>
              <w:t>49</w:t>
            </w:r>
            <w:r>
              <w:rPr>
                <w:noProof/>
                <w:webHidden/>
              </w:rPr>
              <w:fldChar w:fldCharType="end"/>
            </w:r>
          </w:hyperlink>
        </w:p>
        <w:p w14:paraId="66BB877D" w14:textId="0705507F"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197" w:history="1">
            <w:r w:rsidRPr="00C525BB">
              <w:rPr>
                <w:rStyle w:val="Hyperlink"/>
                <w:noProof/>
              </w:rPr>
              <w:t>10.3 Choix des couleurs</w:t>
            </w:r>
            <w:r>
              <w:rPr>
                <w:noProof/>
                <w:webHidden/>
              </w:rPr>
              <w:tab/>
            </w:r>
            <w:r>
              <w:rPr>
                <w:noProof/>
                <w:webHidden/>
              </w:rPr>
              <w:fldChar w:fldCharType="begin"/>
            </w:r>
            <w:r>
              <w:rPr>
                <w:noProof/>
                <w:webHidden/>
              </w:rPr>
              <w:instrText xml:space="preserve"> PAGEREF _Toc219706197 \h </w:instrText>
            </w:r>
            <w:r>
              <w:rPr>
                <w:noProof/>
                <w:webHidden/>
              </w:rPr>
            </w:r>
            <w:r>
              <w:rPr>
                <w:noProof/>
                <w:webHidden/>
              </w:rPr>
              <w:fldChar w:fldCharType="separate"/>
            </w:r>
            <w:r w:rsidR="00523C37">
              <w:rPr>
                <w:noProof/>
                <w:webHidden/>
              </w:rPr>
              <w:t>51</w:t>
            </w:r>
            <w:r>
              <w:rPr>
                <w:noProof/>
                <w:webHidden/>
              </w:rPr>
              <w:fldChar w:fldCharType="end"/>
            </w:r>
          </w:hyperlink>
        </w:p>
        <w:p w14:paraId="4349C749" w14:textId="6CF81C4D"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198" w:history="1">
            <w:r w:rsidRPr="00C525BB">
              <w:rPr>
                <w:rStyle w:val="Hyperlink"/>
                <w:noProof/>
              </w:rPr>
              <w:t>10.4 Motifs de couleur</w:t>
            </w:r>
            <w:r>
              <w:rPr>
                <w:noProof/>
                <w:webHidden/>
              </w:rPr>
              <w:tab/>
            </w:r>
            <w:r>
              <w:rPr>
                <w:noProof/>
                <w:webHidden/>
              </w:rPr>
              <w:fldChar w:fldCharType="begin"/>
            </w:r>
            <w:r>
              <w:rPr>
                <w:noProof/>
                <w:webHidden/>
              </w:rPr>
              <w:instrText xml:space="preserve"> PAGEREF _Toc219706198 \h </w:instrText>
            </w:r>
            <w:r>
              <w:rPr>
                <w:noProof/>
                <w:webHidden/>
              </w:rPr>
            </w:r>
            <w:r>
              <w:rPr>
                <w:noProof/>
                <w:webHidden/>
              </w:rPr>
              <w:fldChar w:fldCharType="separate"/>
            </w:r>
            <w:r w:rsidR="00523C37">
              <w:rPr>
                <w:noProof/>
                <w:webHidden/>
              </w:rPr>
              <w:t>52</w:t>
            </w:r>
            <w:r>
              <w:rPr>
                <w:noProof/>
                <w:webHidden/>
              </w:rPr>
              <w:fldChar w:fldCharType="end"/>
            </w:r>
          </w:hyperlink>
        </w:p>
        <w:p w14:paraId="006F258C" w14:textId="523F969E" w:rsidR="00C849C5" w:rsidRDefault="00C849C5">
          <w:pPr>
            <w:pStyle w:val="TOC1"/>
            <w:tabs>
              <w:tab w:val="right" w:leader="dot" w:pos="9350"/>
            </w:tabs>
            <w:rPr>
              <w:rFonts w:asciiTheme="minorHAnsi" w:eastAsiaTheme="minorEastAsia" w:hAnsiTheme="minorHAnsi"/>
              <w:noProof/>
              <w:sz w:val="24"/>
              <w:szCs w:val="24"/>
              <w:lang w:eastAsia="en-CA"/>
            </w:rPr>
          </w:pPr>
          <w:hyperlink w:anchor="_Toc219706199" w:history="1">
            <w:r w:rsidRPr="00C525BB">
              <w:rPr>
                <w:rStyle w:val="Hyperlink"/>
                <w:noProof/>
              </w:rPr>
              <w:t>11 Orientation</w:t>
            </w:r>
            <w:r>
              <w:rPr>
                <w:noProof/>
                <w:webHidden/>
              </w:rPr>
              <w:tab/>
            </w:r>
            <w:r>
              <w:rPr>
                <w:noProof/>
                <w:webHidden/>
              </w:rPr>
              <w:fldChar w:fldCharType="begin"/>
            </w:r>
            <w:r>
              <w:rPr>
                <w:noProof/>
                <w:webHidden/>
              </w:rPr>
              <w:instrText xml:space="preserve"> PAGEREF _Toc219706199 \h </w:instrText>
            </w:r>
            <w:r>
              <w:rPr>
                <w:noProof/>
                <w:webHidden/>
              </w:rPr>
            </w:r>
            <w:r>
              <w:rPr>
                <w:noProof/>
                <w:webHidden/>
              </w:rPr>
              <w:fldChar w:fldCharType="separate"/>
            </w:r>
            <w:r w:rsidR="00523C37">
              <w:rPr>
                <w:noProof/>
                <w:webHidden/>
              </w:rPr>
              <w:t>53</w:t>
            </w:r>
            <w:r>
              <w:rPr>
                <w:noProof/>
                <w:webHidden/>
              </w:rPr>
              <w:fldChar w:fldCharType="end"/>
            </w:r>
          </w:hyperlink>
        </w:p>
        <w:p w14:paraId="43002029" w14:textId="2AC84494"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00" w:history="1">
            <w:r w:rsidRPr="00C525BB">
              <w:rPr>
                <w:rStyle w:val="Hyperlink"/>
                <w:noProof/>
              </w:rPr>
              <w:t>11.1 Général</w:t>
            </w:r>
            <w:r>
              <w:rPr>
                <w:noProof/>
                <w:webHidden/>
              </w:rPr>
              <w:tab/>
            </w:r>
            <w:r>
              <w:rPr>
                <w:noProof/>
                <w:webHidden/>
              </w:rPr>
              <w:fldChar w:fldCharType="begin"/>
            </w:r>
            <w:r>
              <w:rPr>
                <w:noProof/>
                <w:webHidden/>
              </w:rPr>
              <w:instrText xml:space="preserve"> PAGEREF _Toc219706200 \h </w:instrText>
            </w:r>
            <w:r>
              <w:rPr>
                <w:noProof/>
                <w:webHidden/>
              </w:rPr>
            </w:r>
            <w:r>
              <w:rPr>
                <w:noProof/>
                <w:webHidden/>
              </w:rPr>
              <w:fldChar w:fldCharType="separate"/>
            </w:r>
            <w:r w:rsidR="00523C37">
              <w:rPr>
                <w:noProof/>
                <w:webHidden/>
              </w:rPr>
              <w:t>53</w:t>
            </w:r>
            <w:r>
              <w:rPr>
                <w:noProof/>
                <w:webHidden/>
              </w:rPr>
              <w:fldChar w:fldCharType="end"/>
            </w:r>
          </w:hyperlink>
        </w:p>
        <w:p w14:paraId="76DE967D" w14:textId="2E0A05A1"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01" w:history="1">
            <w:r w:rsidRPr="00C525BB">
              <w:rPr>
                <w:rStyle w:val="Hyperlink"/>
                <w:noProof/>
              </w:rPr>
              <w:t>11.2 Obstacles</w:t>
            </w:r>
            <w:r>
              <w:rPr>
                <w:noProof/>
                <w:webHidden/>
              </w:rPr>
              <w:tab/>
            </w:r>
            <w:r>
              <w:rPr>
                <w:noProof/>
                <w:webHidden/>
              </w:rPr>
              <w:fldChar w:fldCharType="begin"/>
            </w:r>
            <w:r>
              <w:rPr>
                <w:noProof/>
                <w:webHidden/>
              </w:rPr>
              <w:instrText xml:space="preserve"> PAGEREF _Toc219706201 \h </w:instrText>
            </w:r>
            <w:r>
              <w:rPr>
                <w:noProof/>
                <w:webHidden/>
              </w:rPr>
            </w:r>
            <w:r>
              <w:rPr>
                <w:noProof/>
                <w:webHidden/>
              </w:rPr>
              <w:fldChar w:fldCharType="separate"/>
            </w:r>
            <w:r w:rsidR="00523C37">
              <w:rPr>
                <w:noProof/>
                <w:webHidden/>
              </w:rPr>
              <w:t>55</w:t>
            </w:r>
            <w:r>
              <w:rPr>
                <w:noProof/>
                <w:webHidden/>
              </w:rPr>
              <w:fldChar w:fldCharType="end"/>
            </w:r>
          </w:hyperlink>
        </w:p>
        <w:p w14:paraId="54403DA8" w14:textId="48683D7E"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02" w:history="1">
            <w:r w:rsidRPr="00C525BB">
              <w:rPr>
                <w:rStyle w:val="Hyperlink"/>
                <w:noProof/>
                <w:lang w:val="fr-CA"/>
              </w:rPr>
              <w:t>11.2.1 Obstacles sur les voies de circulation</w:t>
            </w:r>
            <w:r>
              <w:rPr>
                <w:noProof/>
                <w:webHidden/>
              </w:rPr>
              <w:tab/>
            </w:r>
            <w:r>
              <w:rPr>
                <w:noProof/>
                <w:webHidden/>
              </w:rPr>
              <w:fldChar w:fldCharType="begin"/>
            </w:r>
            <w:r>
              <w:rPr>
                <w:noProof/>
                <w:webHidden/>
              </w:rPr>
              <w:instrText xml:space="preserve"> PAGEREF _Toc219706202 \h </w:instrText>
            </w:r>
            <w:r>
              <w:rPr>
                <w:noProof/>
                <w:webHidden/>
              </w:rPr>
            </w:r>
            <w:r>
              <w:rPr>
                <w:noProof/>
                <w:webHidden/>
              </w:rPr>
              <w:fldChar w:fldCharType="separate"/>
            </w:r>
            <w:r w:rsidR="00523C37">
              <w:rPr>
                <w:noProof/>
                <w:webHidden/>
              </w:rPr>
              <w:t>55</w:t>
            </w:r>
            <w:r>
              <w:rPr>
                <w:noProof/>
                <w:webHidden/>
              </w:rPr>
              <w:fldChar w:fldCharType="end"/>
            </w:r>
          </w:hyperlink>
        </w:p>
        <w:p w14:paraId="3F8A46CC" w14:textId="16356623"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03" w:history="1">
            <w:r w:rsidRPr="00C525BB">
              <w:rPr>
                <w:rStyle w:val="Hyperlink"/>
                <w:noProof/>
                <w:lang w:val="fr-CA"/>
              </w:rPr>
              <w:t>11.2.2 Bollards dans les voies de circulation</w:t>
            </w:r>
            <w:r>
              <w:rPr>
                <w:noProof/>
                <w:webHidden/>
              </w:rPr>
              <w:tab/>
            </w:r>
            <w:r>
              <w:rPr>
                <w:noProof/>
                <w:webHidden/>
              </w:rPr>
              <w:fldChar w:fldCharType="begin"/>
            </w:r>
            <w:r>
              <w:rPr>
                <w:noProof/>
                <w:webHidden/>
              </w:rPr>
              <w:instrText xml:space="preserve"> PAGEREF _Toc219706203 \h </w:instrText>
            </w:r>
            <w:r>
              <w:rPr>
                <w:noProof/>
                <w:webHidden/>
              </w:rPr>
            </w:r>
            <w:r>
              <w:rPr>
                <w:noProof/>
                <w:webHidden/>
              </w:rPr>
              <w:fldChar w:fldCharType="separate"/>
            </w:r>
            <w:r w:rsidR="00523C37">
              <w:rPr>
                <w:noProof/>
                <w:webHidden/>
              </w:rPr>
              <w:t>55</w:t>
            </w:r>
            <w:r>
              <w:rPr>
                <w:noProof/>
                <w:webHidden/>
              </w:rPr>
              <w:fldChar w:fldCharType="end"/>
            </w:r>
          </w:hyperlink>
        </w:p>
        <w:p w14:paraId="36CAE81C" w14:textId="49B1C633"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04" w:history="1">
            <w:r w:rsidRPr="00C525BB">
              <w:rPr>
                <w:rStyle w:val="Hyperlink"/>
                <w:noProof/>
                <w:lang w:val="fr-CA"/>
              </w:rPr>
              <w:t>11.3 Surfaces de marche des voies de circulation intérieures et extérieurs</w:t>
            </w:r>
            <w:r>
              <w:rPr>
                <w:noProof/>
                <w:webHidden/>
              </w:rPr>
              <w:tab/>
            </w:r>
            <w:r>
              <w:rPr>
                <w:noProof/>
                <w:webHidden/>
              </w:rPr>
              <w:fldChar w:fldCharType="begin"/>
            </w:r>
            <w:r>
              <w:rPr>
                <w:noProof/>
                <w:webHidden/>
              </w:rPr>
              <w:instrText xml:space="preserve"> PAGEREF _Toc219706204 \h </w:instrText>
            </w:r>
            <w:r>
              <w:rPr>
                <w:noProof/>
                <w:webHidden/>
              </w:rPr>
            </w:r>
            <w:r>
              <w:rPr>
                <w:noProof/>
                <w:webHidden/>
              </w:rPr>
              <w:fldChar w:fldCharType="separate"/>
            </w:r>
            <w:r w:rsidR="00523C37">
              <w:rPr>
                <w:noProof/>
                <w:webHidden/>
              </w:rPr>
              <w:t>56</w:t>
            </w:r>
            <w:r>
              <w:rPr>
                <w:noProof/>
                <w:webHidden/>
              </w:rPr>
              <w:fldChar w:fldCharType="end"/>
            </w:r>
          </w:hyperlink>
        </w:p>
        <w:p w14:paraId="21375882" w14:textId="0B9F14BD"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05" w:history="1">
            <w:r w:rsidRPr="00C525BB">
              <w:rPr>
                <w:rStyle w:val="Hyperlink"/>
                <w:noProof/>
                <w:lang w:val="fr-CA"/>
              </w:rPr>
              <w:t>11.3.1 Spécifications supplémentaires pour les voies de circulation extérieures</w:t>
            </w:r>
            <w:r>
              <w:rPr>
                <w:noProof/>
                <w:webHidden/>
              </w:rPr>
              <w:tab/>
            </w:r>
            <w:r>
              <w:rPr>
                <w:noProof/>
                <w:webHidden/>
              </w:rPr>
              <w:fldChar w:fldCharType="begin"/>
            </w:r>
            <w:r>
              <w:rPr>
                <w:noProof/>
                <w:webHidden/>
              </w:rPr>
              <w:instrText xml:space="preserve"> PAGEREF _Toc219706205 \h </w:instrText>
            </w:r>
            <w:r>
              <w:rPr>
                <w:noProof/>
                <w:webHidden/>
              </w:rPr>
            </w:r>
            <w:r>
              <w:rPr>
                <w:noProof/>
                <w:webHidden/>
              </w:rPr>
              <w:fldChar w:fldCharType="separate"/>
            </w:r>
            <w:r w:rsidR="00523C37">
              <w:rPr>
                <w:noProof/>
                <w:webHidden/>
              </w:rPr>
              <w:t>57</w:t>
            </w:r>
            <w:r>
              <w:rPr>
                <w:noProof/>
                <w:webHidden/>
              </w:rPr>
              <w:fldChar w:fldCharType="end"/>
            </w:r>
          </w:hyperlink>
        </w:p>
        <w:p w14:paraId="634B4100" w14:textId="3E68AFE8"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06" w:history="1">
            <w:r w:rsidRPr="00C525BB">
              <w:rPr>
                <w:rStyle w:val="Hyperlink"/>
                <w:noProof/>
                <w:lang w:val="fr-CA"/>
              </w:rPr>
              <w:t>11.4 Indicateur tactile de surface de marche (ITSM)</w:t>
            </w:r>
            <w:r>
              <w:rPr>
                <w:noProof/>
                <w:webHidden/>
              </w:rPr>
              <w:tab/>
            </w:r>
            <w:r>
              <w:rPr>
                <w:noProof/>
                <w:webHidden/>
              </w:rPr>
              <w:fldChar w:fldCharType="begin"/>
            </w:r>
            <w:r>
              <w:rPr>
                <w:noProof/>
                <w:webHidden/>
              </w:rPr>
              <w:instrText xml:space="preserve"> PAGEREF _Toc219706206 \h </w:instrText>
            </w:r>
            <w:r>
              <w:rPr>
                <w:noProof/>
                <w:webHidden/>
              </w:rPr>
            </w:r>
            <w:r>
              <w:rPr>
                <w:noProof/>
                <w:webHidden/>
              </w:rPr>
              <w:fldChar w:fldCharType="separate"/>
            </w:r>
            <w:r w:rsidR="00523C37">
              <w:rPr>
                <w:noProof/>
                <w:webHidden/>
              </w:rPr>
              <w:t>59</w:t>
            </w:r>
            <w:r>
              <w:rPr>
                <w:noProof/>
                <w:webHidden/>
              </w:rPr>
              <w:fldChar w:fldCharType="end"/>
            </w:r>
          </w:hyperlink>
        </w:p>
        <w:p w14:paraId="59098BAB" w14:textId="6ACB1B6A"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07" w:history="1">
            <w:r w:rsidRPr="00C525BB">
              <w:rPr>
                <w:rStyle w:val="Hyperlink"/>
                <w:noProof/>
              </w:rPr>
              <w:t>11.4.1 Concevoir selon la fonction</w:t>
            </w:r>
            <w:r>
              <w:rPr>
                <w:noProof/>
                <w:webHidden/>
              </w:rPr>
              <w:tab/>
            </w:r>
            <w:r>
              <w:rPr>
                <w:noProof/>
                <w:webHidden/>
              </w:rPr>
              <w:fldChar w:fldCharType="begin"/>
            </w:r>
            <w:r>
              <w:rPr>
                <w:noProof/>
                <w:webHidden/>
              </w:rPr>
              <w:instrText xml:space="preserve"> PAGEREF _Toc219706207 \h </w:instrText>
            </w:r>
            <w:r>
              <w:rPr>
                <w:noProof/>
                <w:webHidden/>
              </w:rPr>
            </w:r>
            <w:r>
              <w:rPr>
                <w:noProof/>
                <w:webHidden/>
              </w:rPr>
              <w:fldChar w:fldCharType="separate"/>
            </w:r>
            <w:r w:rsidR="00523C37">
              <w:rPr>
                <w:noProof/>
                <w:webHidden/>
              </w:rPr>
              <w:t>60</w:t>
            </w:r>
            <w:r>
              <w:rPr>
                <w:noProof/>
                <w:webHidden/>
              </w:rPr>
              <w:fldChar w:fldCharType="end"/>
            </w:r>
          </w:hyperlink>
        </w:p>
        <w:p w14:paraId="5E4003D3" w14:textId="35BE4112"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08" w:history="1">
            <w:r w:rsidRPr="00C525BB">
              <w:rPr>
                <w:rStyle w:val="Hyperlink"/>
                <w:noProof/>
              </w:rPr>
              <w:t>11.4.2 Surfaces indicatrices d’avertissement</w:t>
            </w:r>
            <w:r>
              <w:rPr>
                <w:noProof/>
                <w:webHidden/>
              </w:rPr>
              <w:tab/>
            </w:r>
            <w:r>
              <w:rPr>
                <w:noProof/>
                <w:webHidden/>
              </w:rPr>
              <w:fldChar w:fldCharType="begin"/>
            </w:r>
            <w:r>
              <w:rPr>
                <w:noProof/>
                <w:webHidden/>
              </w:rPr>
              <w:instrText xml:space="preserve"> PAGEREF _Toc219706208 \h </w:instrText>
            </w:r>
            <w:r>
              <w:rPr>
                <w:noProof/>
                <w:webHidden/>
              </w:rPr>
            </w:r>
            <w:r>
              <w:rPr>
                <w:noProof/>
                <w:webHidden/>
              </w:rPr>
              <w:fldChar w:fldCharType="separate"/>
            </w:r>
            <w:r w:rsidR="00523C37">
              <w:rPr>
                <w:noProof/>
                <w:webHidden/>
              </w:rPr>
              <w:t>62</w:t>
            </w:r>
            <w:r>
              <w:rPr>
                <w:noProof/>
                <w:webHidden/>
              </w:rPr>
              <w:fldChar w:fldCharType="end"/>
            </w:r>
          </w:hyperlink>
        </w:p>
        <w:p w14:paraId="58DF9449" w14:textId="20F2706A"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09" w:history="1">
            <w:r w:rsidRPr="00C525BB">
              <w:rPr>
                <w:rStyle w:val="Hyperlink"/>
                <w:noProof/>
              </w:rPr>
              <w:t>11.4.3 Surfaces indicatrices de direction</w:t>
            </w:r>
            <w:r>
              <w:rPr>
                <w:noProof/>
                <w:webHidden/>
              </w:rPr>
              <w:tab/>
            </w:r>
            <w:r>
              <w:rPr>
                <w:noProof/>
                <w:webHidden/>
              </w:rPr>
              <w:fldChar w:fldCharType="begin"/>
            </w:r>
            <w:r>
              <w:rPr>
                <w:noProof/>
                <w:webHidden/>
              </w:rPr>
              <w:instrText xml:space="preserve"> PAGEREF _Toc219706209 \h </w:instrText>
            </w:r>
            <w:r>
              <w:rPr>
                <w:noProof/>
                <w:webHidden/>
              </w:rPr>
            </w:r>
            <w:r>
              <w:rPr>
                <w:noProof/>
                <w:webHidden/>
              </w:rPr>
              <w:fldChar w:fldCharType="separate"/>
            </w:r>
            <w:r w:rsidR="00523C37">
              <w:rPr>
                <w:noProof/>
                <w:webHidden/>
              </w:rPr>
              <w:t>69</w:t>
            </w:r>
            <w:r>
              <w:rPr>
                <w:noProof/>
                <w:webHidden/>
              </w:rPr>
              <w:fldChar w:fldCharType="end"/>
            </w:r>
          </w:hyperlink>
        </w:p>
        <w:p w14:paraId="14489E2C" w14:textId="1867A95C" w:rsidR="00C849C5" w:rsidRDefault="00C849C5">
          <w:pPr>
            <w:pStyle w:val="TOC1"/>
            <w:tabs>
              <w:tab w:val="right" w:leader="dot" w:pos="9350"/>
            </w:tabs>
            <w:rPr>
              <w:rFonts w:asciiTheme="minorHAnsi" w:eastAsiaTheme="minorEastAsia" w:hAnsiTheme="minorHAnsi"/>
              <w:noProof/>
              <w:sz w:val="24"/>
              <w:szCs w:val="24"/>
              <w:lang w:eastAsia="en-CA"/>
            </w:rPr>
          </w:pPr>
          <w:hyperlink w:anchor="_Toc219706210" w:history="1">
            <w:r w:rsidRPr="00C525BB">
              <w:rPr>
                <w:rStyle w:val="Hyperlink"/>
                <w:noProof/>
              </w:rPr>
              <w:t>12 Signalisation</w:t>
            </w:r>
            <w:r>
              <w:rPr>
                <w:noProof/>
                <w:webHidden/>
              </w:rPr>
              <w:tab/>
            </w:r>
            <w:r>
              <w:rPr>
                <w:noProof/>
                <w:webHidden/>
              </w:rPr>
              <w:fldChar w:fldCharType="begin"/>
            </w:r>
            <w:r>
              <w:rPr>
                <w:noProof/>
                <w:webHidden/>
              </w:rPr>
              <w:instrText xml:space="preserve"> PAGEREF _Toc219706210 \h </w:instrText>
            </w:r>
            <w:r>
              <w:rPr>
                <w:noProof/>
                <w:webHidden/>
              </w:rPr>
            </w:r>
            <w:r>
              <w:rPr>
                <w:noProof/>
                <w:webHidden/>
              </w:rPr>
              <w:fldChar w:fldCharType="separate"/>
            </w:r>
            <w:r w:rsidR="00523C37">
              <w:rPr>
                <w:noProof/>
                <w:webHidden/>
              </w:rPr>
              <w:t>75</w:t>
            </w:r>
            <w:r>
              <w:rPr>
                <w:noProof/>
                <w:webHidden/>
              </w:rPr>
              <w:fldChar w:fldCharType="end"/>
            </w:r>
          </w:hyperlink>
        </w:p>
        <w:p w14:paraId="40E8B5CE" w14:textId="7F26BC00"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11" w:history="1">
            <w:r w:rsidRPr="00C525BB">
              <w:rPr>
                <w:rStyle w:val="Hyperlink"/>
                <w:noProof/>
              </w:rPr>
              <w:t>12.1 Général</w:t>
            </w:r>
            <w:r>
              <w:rPr>
                <w:noProof/>
                <w:webHidden/>
              </w:rPr>
              <w:tab/>
            </w:r>
            <w:r>
              <w:rPr>
                <w:noProof/>
                <w:webHidden/>
              </w:rPr>
              <w:fldChar w:fldCharType="begin"/>
            </w:r>
            <w:r>
              <w:rPr>
                <w:noProof/>
                <w:webHidden/>
              </w:rPr>
              <w:instrText xml:space="preserve"> PAGEREF _Toc219706211 \h </w:instrText>
            </w:r>
            <w:r>
              <w:rPr>
                <w:noProof/>
                <w:webHidden/>
              </w:rPr>
            </w:r>
            <w:r>
              <w:rPr>
                <w:noProof/>
                <w:webHidden/>
              </w:rPr>
              <w:fldChar w:fldCharType="separate"/>
            </w:r>
            <w:r w:rsidR="00523C37">
              <w:rPr>
                <w:noProof/>
                <w:webHidden/>
              </w:rPr>
              <w:t>75</w:t>
            </w:r>
            <w:r>
              <w:rPr>
                <w:noProof/>
                <w:webHidden/>
              </w:rPr>
              <w:fldChar w:fldCharType="end"/>
            </w:r>
          </w:hyperlink>
        </w:p>
        <w:p w14:paraId="3A93860A" w14:textId="3B5C0396"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12" w:history="1">
            <w:r w:rsidRPr="00C525BB">
              <w:rPr>
                <w:rStyle w:val="Hyperlink"/>
                <w:noProof/>
              </w:rPr>
              <w:t>12.2 Types de signalisation</w:t>
            </w:r>
            <w:r>
              <w:rPr>
                <w:noProof/>
                <w:webHidden/>
              </w:rPr>
              <w:tab/>
            </w:r>
            <w:r>
              <w:rPr>
                <w:noProof/>
                <w:webHidden/>
              </w:rPr>
              <w:fldChar w:fldCharType="begin"/>
            </w:r>
            <w:r>
              <w:rPr>
                <w:noProof/>
                <w:webHidden/>
              </w:rPr>
              <w:instrText xml:space="preserve"> PAGEREF _Toc219706212 \h </w:instrText>
            </w:r>
            <w:r>
              <w:rPr>
                <w:noProof/>
                <w:webHidden/>
              </w:rPr>
            </w:r>
            <w:r>
              <w:rPr>
                <w:noProof/>
                <w:webHidden/>
              </w:rPr>
              <w:fldChar w:fldCharType="separate"/>
            </w:r>
            <w:r w:rsidR="00523C37">
              <w:rPr>
                <w:noProof/>
                <w:webHidden/>
              </w:rPr>
              <w:t>76</w:t>
            </w:r>
            <w:r>
              <w:rPr>
                <w:noProof/>
                <w:webHidden/>
              </w:rPr>
              <w:fldChar w:fldCharType="end"/>
            </w:r>
          </w:hyperlink>
        </w:p>
        <w:p w14:paraId="4889FE2E" w14:textId="04325099"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13" w:history="1">
            <w:r w:rsidRPr="00C525BB">
              <w:rPr>
                <w:rStyle w:val="Hyperlink"/>
                <w:noProof/>
                <w:lang w:val="fr-CA"/>
              </w:rPr>
              <w:t>12.2.1 Panneaux d’orientation</w:t>
            </w:r>
            <w:r>
              <w:rPr>
                <w:noProof/>
                <w:webHidden/>
              </w:rPr>
              <w:tab/>
            </w:r>
            <w:r>
              <w:rPr>
                <w:noProof/>
                <w:webHidden/>
              </w:rPr>
              <w:fldChar w:fldCharType="begin"/>
            </w:r>
            <w:r>
              <w:rPr>
                <w:noProof/>
                <w:webHidden/>
              </w:rPr>
              <w:instrText xml:space="preserve"> PAGEREF _Toc219706213 \h </w:instrText>
            </w:r>
            <w:r>
              <w:rPr>
                <w:noProof/>
                <w:webHidden/>
              </w:rPr>
            </w:r>
            <w:r>
              <w:rPr>
                <w:noProof/>
                <w:webHidden/>
              </w:rPr>
              <w:fldChar w:fldCharType="separate"/>
            </w:r>
            <w:r w:rsidR="00523C37">
              <w:rPr>
                <w:noProof/>
                <w:webHidden/>
              </w:rPr>
              <w:t>77</w:t>
            </w:r>
            <w:r>
              <w:rPr>
                <w:noProof/>
                <w:webHidden/>
              </w:rPr>
              <w:fldChar w:fldCharType="end"/>
            </w:r>
          </w:hyperlink>
        </w:p>
        <w:p w14:paraId="70E90EAA" w14:textId="52F3A0CD"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14" w:history="1">
            <w:r w:rsidRPr="00C525BB">
              <w:rPr>
                <w:rStyle w:val="Hyperlink"/>
                <w:noProof/>
                <w:lang w:val="fr-CA"/>
              </w:rPr>
              <w:t>12.2.2 Panneaux d’identification</w:t>
            </w:r>
            <w:r>
              <w:rPr>
                <w:noProof/>
                <w:webHidden/>
              </w:rPr>
              <w:tab/>
            </w:r>
            <w:r>
              <w:rPr>
                <w:noProof/>
                <w:webHidden/>
              </w:rPr>
              <w:fldChar w:fldCharType="begin"/>
            </w:r>
            <w:r>
              <w:rPr>
                <w:noProof/>
                <w:webHidden/>
              </w:rPr>
              <w:instrText xml:space="preserve"> PAGEREF _Toc219706214 \h </w:instrText>
            </w:r>
            <w:r>
              <w:rPr>
                <w:noProof/>
                <w:webHidden/>
              </w:rPr>
            </w:r>
            <w:r>
              <w:rPr>
                <w:noProof/>
                <w:webHidden/>
              </w:rPr>
              <w:fldChar w:fldCharType="separate"/>
            </w:r>
            <w:r w:rsidR="00523C37">
              <w:rPr>
                <w:noProof/>
                <w:webHidden/>
              </w:rPr>
              <w:t>77</w:t>
            </w:r>
            <w:r>
              <w:rPr>
                <w:noProof/>
                <w:webHidden/>
              </w:rPr>
              <w:fldChar w:fldCharType="end"/>
            </w:r>
          </w:hyperlink>
        </w:p>
        <w:p w14:paraId="37E47570" w14:textId="5797ACA3"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15" w:history="1">
            <w:r w:rsidRPr="00C525BB">
              <w:rPr>
                <w:rStyle w:val="Hyperlink"/>
                <w:noProof/>
                <w:lang w:val="fr-CA"/>
              </w:rPr>
              <w:t>12.2.3 Panneaux r</w:t>
            </w:r>
            <w:r w:rsidRPr="00C525BB">
              <w:rPr>
                <w:rStyle w:val="Hyperlink"/>
                <w:rFonts w:cs="Arial"/>
                <w:noProof/>
                <w:lang w:val="fr-CA"/>
              </w:rPr>
              <w:t>é</w:t>
            </w:r>
            <w:r w:rsidRPr="00C525BB">
              <w:rPr>
                <w:rStyle w:val="Hyperlink"/>
                <w:noProof/>
                <w:lang w:val="fr-CA"/>
              </w:rPr>
              <w:t>glementaires</w:t>
            </w:r>
            <w:r>
              <w:rPr>
                <w:noProof/>
                <w:webHidden/>
              </w:rPr>
              <w:tab/>
            </w:r>
            <w:r>
              <w:rPr>
                <w:noProof/>
                <w:webHidden/>
              </w:rPr>
              <w:fldChar w:fldCharType="begin"/>
            </w:r>
            <w:r>
              <w:rPr>
                <w:noProof/>
                <w:webHidden/>
              </w:rPr>
              <w:instrText xml:space="preserve"> PAGEREF _Toc219706215 \h </w:instrText>
            </w:r>
            <w:r>
              <w:rPr>
                <w:noProof/>
                <w:webHidden/>
              </w:rPr>
            </w:r>
            <w:r>
              <w:rPr>
                <w:noProof/>
                <w:webHidden/>
              </w:rPr>
              <w:fldChar w:fldCharType="separate"/>
            </w:r>
            <w:r w:rsidR="00523C37">
              <w:rPr>
                <w:noProof/>
                <w:webHidden/>
              </w:rPr>
              <w:t>78</w:t>
            </w:r>
            <w:r>
              <w:rPr>
                <w:noProof/>
                <w:webHidden/>
              </w:rPr>
              <w:fldChar w:fldCharType="end"/>
            </w:r>
          </w:hyperlink>
        </w:p>
        <w:p w14:paraId="527A0FE5" w14:textId="438B9AC3"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16" w:history="1">
            <w:r w:rsidRPr="00C525BB">
              <w:rPr>
                <w:rStyle w:val="Hyperlink"/>
                <w:noProof/>
                <w:lang w:val="fr-CA"/>
              </w:rPr>
              <w:t>12.2.4 Panneaux d’avertissement et de danger</w:t>
            </w:r>
            <w:r>
              <w:rPr>
                <w:noProof/>
                <w:webHidden/>
              </w:rPr>
              <w:tab/>
            </w:r>
            <w:r>
              <w:rPr>
                <w:noProof/>
                <w:webHidden/>
              </w:rPr>
              <w:fldChar w:fldCharType="begin"/>
            </w:r>
            <w:r>
              <w:rPr>
                <w:noProof/>
                <w:webHidden/>
              </w:rPr>
              <w:instrText xml:space="preserve"> PAGEREF _Toc219706216 \h </w:instrText>
            </w:r>
            <w:r>
              <w:rPr>
                <w:noProof/>
                <w:webHidden/>
              </w:rPr>
            </w:r>
            <w:r>
              <w:rPr>
                <w:noProof/>
                <w:webHidden/>
              </w:rPr>
              <w:fldChar w:fldCharType="separate"/>
            </w:r>
            <w:r w:rsidR="00523C37">
              <w:rPr>
                <w:noProof/>
                <w:webHidden/>
              </w:rPr>
              <w:t>78</w:t>
            </w:r>
            <w:r>
              <w:rPr>
                <w:noProof/>
                <w:webHidden/>
              </w:rPr>
              <w:fldChar w:fldCharType="end"/>
            </w:r>
          </w:hyperlink>
        </w:p>
        <w:p w14:paraId="2FC0A599" w14:textId="27AC1F63"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17" w:history="1">
            <w:r w:rsidRPr="00C525BB">
              <w:rPr>
                <w:rStyle w:val="Hyperlink"/>
                <w:noProof/>
                <w:lang w:val="fr-CA"/>
              </w:rPr>
              <w:t>12.2.5 Panneaux d’information</w:t>
            </w:r>
            <w:r>
              <w:rPr>
                <w:noProof/>
                <w:webHidden/>
              </w:rPr>
              <w:tab/>
            </w:r>
            <w:r>
              <w:rPr>
                <w:noProof/>
                <w:webHidden/>
              </w:rPr>
              <w:fldChar w:fldCharType="begin"/>
            </w:r>
            <w:r>
              <w:rPr>
                <w:noProof/>
                <w:webHidden/>
              </w:rPr>
              <w:instrText xml:space="preserve"> PAGEREF _Toc219706217 \h </w:instrText>
            </w:r>
            <w:r>
              <w:rPr>
                <w:noProof/>
                <w:webHidden/>
              </w:rPr>
            </w:r>
            <w:r>
              <w:rPr>
                <w:noProof/>
                <w:webHidden/>
              </w:rPr>
              <w:fldChar w:fldCharType="separate"/>
            </w:r>
            <w:r w:rsidR="00523C37">
              <w:rPr>
                <w:noProof/>
                <w:webHidden/>
              </w:rPr>
              <w:t>78</w:t>
            </w:r>
            <w:r>
              <w:rPr>
                <w:noProof/>
                <w:webHidden/>
              </w:rPr>
              <w:fldChar w:fldCharType="end"/>
            </w:r>
          </w:hyperlink>
        </w:p>
        <w:p w14:paraId="0C9DBD85" w14:textId="2075D2EA"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18" w:history="1">
            <w:r w:rsidRPr="00C525BB">
              <w:rPr>
                <w:rStyle w:val="Hyperlink"/>
                <w:noProof/>
                <w:lang w:val="fr-CA"/>
              </w:rPr>
              <w:t>12.2.6 Panneaux temporaires</w:t>
            </w:r>
            <w:r>
              <w:rPr>
                <w:noProof/>
                <w:webHidden/>
              </w:rPr>
              <w:tab/>
            </w:r>
            <w:r>
              <w:rPr>
                <w:noProof/>
                <w:webHidden/>
              </w:rPr>
              <w:fldChar w:fldCharType="begin"/>
            </w:r>
            <w:r>
              <w:rPr>
                <w:noProof/>
                <w:webHidden/>
              </w:rPr>
              <w:instrText xml:space="preserve"> PAGEREF _Toc219706218 \h </w:instrText>
            </w:r>
            <w:r>
              <w:rPr>
                <w:noProof/>
                <w:webHidden/>
              </w:rPr>
            </w:r>
            <w:r>
              <w:rPr>
                <w:noProof/>
                <w:webHidden/>
              </w:rPr>
              <w:fldChar w:fldCharType="separate"/>
            </w:r>
            <w:r w:rsidR="00523C37">
              <w:rPr>
                <w:noProof/>
                <w:webHidden/>
              </w:rPr>
              <w:t>79</w:t>
            </w:r>
            <w:r>
              <w:rPr>
                <w:noProof/>
                <w:webHidden/>
              </w:rPr>
              <w:fldChar w:fldCharType="end"/>
            </w:r>
          </w:hyperlink>
        </w:p>
        <w:p w14:paraId="1A7C501D" w14:textId="210202EB"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19" w:history="1">
            <w:r w:rsidRPr="00C525BB">
              <w:rPr>
                <w:rStyle w:val="Hyperlink"/>
                <w:noProof/>
                <w:lang w:val="fr-CA"/>
              </w:rPr>
              <w:t>12.2.7 Panneaux de stationnement</w:t>
            </w:r>
            <w:r>
              <w:rPr>
                <w:noProof/>
                <w:webHidden/>
              </w:rPr>
              <w:tab/>
            </w:r>
            <w:r>
              <w:rPr>
                <w:noProof/>
                <w:webHidden/>
              </w:rPr>
              <w:fldChar w:fldCharType="begin"/>
            </w:r>
            <w:r>
              <w:rPr>
                <w:noProof/>
                <w:webHidden/>
              </w:rPr>
              <w:instrText xml:space="preserve"> PAGEREF _Toc219706219 \h </w:instrText>
            </w:r>
            <w:r>
              <w:rPr>
                <w:noProof/>
                <w:webHidden/>
              </w:rPr>
            </w:r>
            <w:r>
              <w:rPr>
                <w:noProof/>
                <w:webHidden/>
              </w:rPr>
              <w:fldChar w:fldCharType="separate"/>
            </w:r>
            <w:r w:rsidR="00523C37">
              <w:rPr>
                <w:noProof/>
                <w:webHidden/>
              </w:rPr>
              <w:t>79</w:t>
            </w:r>
            <w:r>
              <w:rPr>
                <w:noProof/>
                <w:webHidden/>
              </w:rPr>
              <w:fldChar w:fldCharType="end"/>
            </w:r>
          </w:hyperlink>
        </w:p>
        <w:p w14:paraId="2E1A363D" w14:textId="7A6EC197"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20" w:history="1">
            <w:r w:rsidRPr="00C525BB">
              <w:rPr>
                <w:rStyle w:val="Hyperlink"/>
                <w:noProof/>
                <w:lang w:val="fr-CA"/>
              </w:rPr>
              <w:t>12.2.8 Exigences pour différents types de signalisation</w:t>
            </w:r>
            <w:r>
              <w:rPr>
                <w:noProof/>
                <w:webHidden/>
              </w:rPr>
              <w:tab/>
            </w:r>
            <w:r>
              <w:rPr>
                <w:noProof/>
                <w:webHidden/>
              </w:rPr>
              <w:fldChar w:fldCharType="begin"/>
            </w:r>
            <w:r>
              <w:rPr>
                <w:noProof/>
                <w:webHidden/>
              </w:rPr>
              <w:instrText xml:space="preserve"> PAGEREF _Toc219706220 \h </w:instrText>
            </w:r>
            <w:r>
              <w:rPr>
                <w:noProof/>
                <w:webHidden/>
              </w:rPr>
            </w:r>
            <w:r>
              <w:rPr>
                <w:noProof/>
                <w:webHidden/>
              </w:rPr>
              <w:fldChar w:fldCharType="separate"/>
            </w:r>
            <w:r w:rsidR="00523C37">
              <w:rPr>
                <w:noProof/>
                <w:webHidden/>
              </w:rPr>
              <w:t>80</w:t>
            </w:r>
            <w:r>
              <w:rPr>
                <w:noProof/>
                <w:webHidden/>
              </w:rPr>
              <w:fldChar w:fldCharType="end"/>
            </w:r>
          </w:hyperlink>
        </w:p>
        <w:p w14:paraId="3E9F837F" w14:textId="02D5B51D"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21" w:history="1">
            <w:r w:rsidRPr="00C525BB">
              <w:rPr>
                <w:rStyle w:val="Hyperlink"/>
                <w:noProof/>
                <w:lang w:val="fr-CA"/>
              </w:rPr>
              <w:t>12.2.9</w:t>
            </w:r>
            <w:r w:rsidRPr="00C525BB">
              <w:rPr>
                <w:rStyle w:val="Hyperlink"/>
                <w:noProof/>
              </w:rPr>
              <w:t xml:space="preserve"> Panneaux pour espaces extérieurs</w:t>
            </w:r>
            <w:r>
              <w:rPr>
                <w:noProof/>
                <w:webHidden/>
              </w:rPr>
              <w:tab/>
            </w:r>
            <w:r>
              <w:rPr>
                <w:noProof/>
                <w:webHidden/>
              </w:rPr>
              <w:fldChar w:fldCharType="begin"/>
            </w:r>
            <w:r>
              <w:rPr>
                <w:noProof/>
                <w:webHidden/>
              </w:rPr>
              <w:instrText xml:space="preserve"> PAGEREF _Toc219706221 \h </w:instrText>
            </w:r>
            <w:r>
              <w:rPr>
                <w:noProof/>
                <w:webHidden/>
              </w:rPr>
            </w:r>
            <w:r>
              <w:rPr>
                <w:noProof/>
                <w:webHidden/>
              </w:rPr>
              <w:fldChar w:fldCharType="separate"/>
            </w:r>
            <w:r w:rsidR="00523C37">
              <w:rPr>
                <w:noProof/>
                <w:webHidden/>
              </w:rPr>
              <w:t>81</w:t>
            </w:r>
            <w:r>
              <w:rPr>
                <w:noProof/>
                <w:webHidden/>
              </w:rPr>
              <w:fldChar w:fldCharType="end"/>
            </w:r>
          </w:hyperlink>
        </w:p>
        <w:p w14:paraId="088487F7" w14:textId="523B78BD"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22" w:history="1">
            <w:r w:rsidRPr="00C525BB">
              <w:rPr>
                <w:rStyle w:val="Hyperlink"/>
                <w:noProof/>
              </w:rPr>
              <w:t>12.3 Qualité de l’information</w:t>
            </w:r>
            <w:r>
              <w:rPr>
                <w:noProof/>
                <w:webHidden/>
              </w:rPr>
              <w:tab/>
            </w:r>
            <w:r>
              <w:rPr>
                <w:noProof/>
                <w:webHidden/>
              </w:rPr>
              <w:fldChar w:fldCharType="begin"/>
            </w:r>
            <w:r>
              <w:rPr>
                <w:noProof/>
                <w:webHidden/>
              </w:rPr>
              <w:instrText xml:space="preserve"> PAGEREF _Toc219706222 \h </w:instrText>
            </w:r>
            <w:r>
              <w:rPr>
                <w:noProof/>
                <w:webHidden/>
              </w:rPr>
            </w:r>
            <w:r>
              <w:rPr>
                <w:noProof/>
                <w:webHidden/>
              </w:rPr>
              <w:fldChar w:fldCharType="separate"/>
            </w:r>
            <w:r w:rsidR="00523C37">
              <w:rPr>
                <w:noProof/>
                <w:webHidden/>
              </w:rPr>
              <w:t>82</w:t>
            </w:r>
            <w:r>
              <w:rPr>
                <w:noProof/>
                <w:webHidden/>
              </w:rPr>
              <w:fldChar w:fldCharType="end"/>
            </w:r>
          </w:hyperlink>
        </w:p>
        <w:p w14:paraId="5F60C6A0" w14:textId="23AD4798"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23" w:history="1">
            <w:r w:rsidRPr="00C525BB">
              <w:rPr>
                <w:rStyle w:val="Hyperlink"/>
                <w:noProof/>
              </w:rPr>
              <w:t>12.4 Configuration</w:t>
            </w:r>
            <w:r>
              <w:rPr>
                <w:noProof/>
                <w:webHidden/>
              </w:rPr>
              <w:tab/>
            </w:r>
            <w:r>
              <w:rPr>
                <w:noProof/>
                <w:webHidden/>
              </w:rPr>
              <w:fldChar w:fldCharType="begin"/>
            </w:r>
            <w:r>
              <w:rPr>
                <w:noProof/>
                <w:webHidden/>
              </w:rPr>
              <w:instrText xml:space="preserve"> PAGEREF _Toc219706223 \h </w:instrText>
            </w:r>
            <w:r>
              <w:rPr>
                <w:noProof/>
                <w:webHidden/>
              </w:rPr>
            </w:r>
            <w:r>
              <w:rPr>
                <w:noProof/>
                <w:webHidden/>
              </w:rPr>
              <w:fldChar w:fldCharType="separate"/>
            </w:r>
            <w:r w:rsidR="00523C37">
              <w:rPr>
                <w:noProof/>
                <w:webHidden/>
              </w:rPr>
              <w:t>83</w:t>
            </w:r>
            <w:r>
              <w:rPr>
                <w:noProof/>
                <w:webHidden/>
              </w:rPr>
              <w:fldChar w:fldCharType="end"/>
            </w:r>
          </w:hyperlink>
        </w:p>
        <w:p w14:paraId="1EB0D54C" w14:textId="3A3065C1"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24" w:history="1">
            <w:r w:rsidRPr="00C525BB">
              <w:rPr>
                <w:rStyle w:val="Hyperlink"/>
                <w:noProof/>
              </w:rPr>
              <w:t>12.5 Contraste de couleurs</w:t>
            </w:r>
            <w:r>
              <w:rPr>
                <w:noProof/>
                <w:webHidden/>
              </w:rPr>
              <w:tab/>
            </w:r>
            <w:r>
              <w:rPr>
                <w:noProof/>
                <w:webHidden/>
              </w:rPr>
              <w:fldChar w:fldCharType="begin"/>
            </w:r>
            <w:r>
              <w:rPr>
                <w:noProof/>
                <w:webHidden/>
              </w:rPr>
              <w:instrText xml:space="preserve"> PAGEREF _Toc219706224 \h </w:instrText>
            </w:r>
            <w:r>
              <w:rPr>
                <w:noProof/>
                <w:webHidden/>
              </w:rPr>
            </w:r>
            <w:r>
              <w:rPr>
                <w:noProof/>
                <w:webHidden/>
              </w:rPr>
              <w:fldChar w:fldCharType="separate"/>
            </w:r>
            <w:r w:rsidR="00523C37">
              <w:rPr>
                <w:noProof/>
                <w:webHidden/>
              </w:rPr>
              <w:t>87</w:t>
            </w:r>
            <w:r>
              <w:rPr>
                <w:noProof/>
                <w:webHidden/>
              </w:rPr>
              <w:fldChar w:fldCharType="end"/>
            </w:r>
          </w:hyperlink>
        </w:p>
        <w:p w14:paraId="00F3910A" w14:textId="318045B4"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25" w:history="1">
            <w:r w:rsidRPr="00C525BB">
              <w:rPr>
                <w:rStyle w:val="Hyperlink"/>
                <w:noProof/>
              </w:rPr>
              <w:t>12.6 Installation</w:t>
            </w:r>
            <w:r>
              <w:rPr>
                <w:noProof/>
                <w:webHidden/>
              </w:rPr>
              <w:tab/>
            </w:r>
            <w:r>
              <w:rPr>
                <w:noProof/>
                <w:webHidden/>
              </w:rPr>
              <w:fldChar w:fldCharType="begin"/>
            </w:r>
            <w:r>
              <w:rPr>
                <w:noProof/>
                <w:webHidden/>
              </w:rPr>
              <w:instrText xml:space="preserve"> PAGEREF _Toc219706225 \h </w:instrText>
            </w:r>
            <w:r>
              <w:rPr>
                <w:noProof/>
                <w:webHidden/>
              </w:rPr>
            </w:r>
            <w:r>
              <w:rPr>
                <w:noProof/>
                <w:webHidden/>
              </w:rPr>
              <w:fldChar w:fldCharType="separate"/>
            </w:r>
            <w:r w:rsidR="00523C37">
              <w:rPr>
                <w:noProof/>
                <w:webHidden/>
              </w:rPr>
              <w:t>88</w:t>
            </w:r>
            <w:r>
              <w:rPr>
                <w:noProof/>
                <w:webHidden/>
              </w:rPr>
              <w:fldChar w:fldCharType="end"/>
            </w:r>
          </w:hyperlink>
        </w:p>
        <w:p w14:paraId="1B0FEA9A" w14:textId="2BA2F3AF"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26" w:history="1">
            <w:r w:rsidRPr="00C525BB">
              <w:rPr>
                <w:rStyle w:val="Hyperlink"/>
                <w:noProof/>
              </w:rPr>
              <w:t>12.6.1 Emplacement des panneaux</w:t>
            </w:r>
            <w:r>
              <w:rPr>
                <w:noProof/>
                <w:webHidden/>
              </w:rPr>
              <w:tab/>
            </w:r>
            <w:r>
              <w:rPr>
                <w:noProof/>
                <w:webHidden/>
              </w:rPr>
              <w:fldChar w:fldCharType="begin"/>
            </w:r>
            <w:r>
              <w:rPr>
                <w:noProof/>
                <w:webHidden/>
              </w:rPr>
              <w:instrText xml:space="preserve"> PAGEREF _Toc219706226 \h </w:instrText>
            </w:r>
            <w:r>
              <w:rPr>
                <w:noProof/>
                <w:webHidden/>
              </w:rPr>
            </w:r>
            <w:r>
              <w:rPr>
                <w:noProof/>
                <w:webHidden/>
              </w:rPr>
              <w:fldChar w:fldCharType="separate"/>
            </w:r>
            <w:r w:rsidR="00523C37">
              <w:rPr>
                <w:noProof/>
                <w:webHidden/>
              </w:rPr>
              <w:t>88</w:t>
            </w:r>
            <w:r>
              <w:rPr>
                <w:noProof/>
                <w:webHidden/>
              </w:rPr>
              <w:fldChar w:fldCharType="end"/>
            </w:r>
          </w:hyperlink>
        </w:p>
        <w:p w14:paraId="4CA7D1BD" w14:textId="733F382A"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27" w:history="1">
            <w:r w:rsidRPr="00C525BB">
              <w:rPr>
                <w:rStyle w:val="Hyperlink"/>
                <w:noProof/>
              </w:rPr>
              <w:t>12.6.2 Panneaux suspendus</w:t>
            </w:r>
            <w:r>
              <w:rPr>
                <w:noProof/>
                <w:webHidden/>
              </w:rPr>
              <w:tab/>
            </w:r>
            <w:r>
              <w:rPr>
                <w:noProof/>
                <w:webHidden/>
              </w:rPr>
              <w:fldChar w:fldCharType="begin"/>
            </w:r>
            <w:r>
              <w:rPr>
                <w:noProof/>
                <w:webHidden/>
              </w:rPr>
              <w:instrText xml:space="preserve"> PAGEREF _Toc219706227 \h </w:instrText>
            </w:r>
            <w:r>
              <w:rPr>
                <w:noProof/>
                <w:webHidden/>
              </w:rPr>
            </w:r>
            <w:r>
              <w:rPr>
                <w:noProof/>
                <w:webHidden/>
              </w:rPr>
              <w:fldChar w:fldCharType="separate"/>
            </w:r>
            <w:r w:rsidR="00523C37">
              <w:rPr>
                <w:noProof/>
                <w:webHidden/>
              </w:rPr>
              <w:t>91</w:t>
            </w:r>
            <w:r>
              <w:rPr>
                <w:noProof/>
                <w:webHidden/>
              </w:rPr>
              <w:fldChar w:fldCharType="end"/>
            </w:r>
          </w:hyperlink>
        </w:p>
        <w:p w14:paraId="5D26230D" w14:textId="3EEE23BA"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28" w:history="1">
            <w:r w:rsidRPr="00C525BB">
              <w:rPr>
                <w:rStyle w:val="Hyperlink"/>
                <w:noProof/>
              </w:rPr>
              <w:t>12.6.3 Escaliers</w:t>
            </w:r>
            <w:r>
              <w:rPr>
                <w:noProof/>
                <w:webHidden/>
              </w:rPr>
              <w:tab/>
            </w:r>
            <w:r>
              <w:rPr>
                <w:noProof/>
                <w:webHidden/>
              </w:rPr>
              <w:fldChar w:fldCharType="begin"/>
            </w:r>
            <w:r>
              <w:rPr>
                <w:noProof/>
                <w:webHidden/>
              </w:rPr>
              <w:instrText xml:space="preserve"> PAGEREF _Toc219706228 \h </w:instrText>
            </w:r>
            <w:r>
              <w:rPr>
                <w:noProof/>
                <w:webHidden/>
              </w:rPr>
            </w:r>
            <w:r>
              <w:rPr>
                <w:noProof/>
                <w:webHidden/>
              </w:rPr>
              <w:fldChar w:fldCharType="separate"/>
            </w:r>
            <w:r w:rsidR="00523C37">
              <w:rPr>
                <w:noProof/>
                <w:webHidden/>
              </w:rPr>
              <w:t>91</w:t>
            </w:r>
            <w:r>
              <w:rPr>
                <w:noProof/>
                <w:webHidden/>
              </w:rPr>
              <w:fldChar w:fldCharType="end"/>
            </w:r>
          </w:hyperlink>
        </w:p>
        <w:p w14:paraId="1B1B94B9" w14:textId="4DE5A23E"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29" w:history="1">
            <w:r w:rsidRPr="00C525BB">
              <w:rPr>
                <w:rStyle w:val="Hyperlink"/>
                <w:noProof/>
              </w:rPr>
              <w:t>12.7 Panneaux tactiles</w:t>
            </w:r>
            <w:r>
              <w:rPr>
                <w:noProof/>
                <w:webHidden/>
              </w:rPr>
              <w:tab/>
            </w:r>
            <w:r>
              <w:rPr>
                <w:noProof/>
                <w:webHidden/>
              </w:rPr>
              <w:fldChar w:fldCharType="begin"/>
            </w:r>
            <w:r>
              <w:rPr>
                <w:noProof/>
                <w:webHidden/>
              </w:rPr>
              <w:instrText xml:space="preserve"> PAGEREF _Toc219706229 \h </w:instrText>
            </w:r>
            <w:r>
              <w:rPr>
                <w:noProof/>
                <w:webHidden/>
              </w:rPr>
            </w:r>
            <w:r>
              <w:rPr>
                <w:noProof/>
                <w:webHidden/>
              </w:rPr>
              <w:fldChar w:fldCharType="separate"/>
            </w:r>
            <w:r w:rsidR="00523C37">
              <w:rPr>
                <w:noProof/>
                <w:webHidden/>
              </w:rPr>
              <w:t>92</w:t>
            </w:r>
            <w:r>
              <w:rPr>
                <w:noProof/>
                <w:webHidden/>
              </w:rPr>
              <w:fldChar w:fldCharType="end"/>
            </w:r>
          </w:hyperlink>
        </w:p>
        <w:p w14:paraId="0C253F5F" w14:textId="32395B61"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30" w:history="1">
            <w:r w:rsidRPr="00C525BB">
              <w:rPr>
                <w:rStyle w:val="Hyperlink"/>
                <w:noProof/>
                <w:lang w:val="fr-CA"/>
              </w:rPr>
              <w:t>12.7.1 Conception et construction d’éléments de panneaux tactiles</w:t>
            </w:r>
            <w:r>
              <w:rPr>
                <w:noProof/>
                <w:webHidden/>
              </w:rPr>
              <w:tab/>
            </w:r>
            <w:r>
              <w:rPr>
                <w:noProof/>
                <w:webHidden/>
              </w:rPr>
              <w:fldChar w:fldCharType="begin"/>
            </w:r>
            <w:r>
              <w:rPr>
                <w:noProof/>
                <w:webHidden/>
              </w:rPr>
              <w:instrText xml:space="preserve"> PAGEREF _Toc219706230 \h </w:instrText>
            </w:r>
            <w:r>
              <w:rPr>
                <w:noProof/>
                <w:webHidden/>
              </w:rPr>
            </w:r>
            <w:r>
              <w:rPr>
                <w:noProof/>
                <w:webHidden/>
              </w:rPr>
              <w:fldChar w:fldCharType="separate"/>
            </w:r>
            <w:r w:rsidR="00523C37">
              <w:rPr>
                <w:noProof/>
                <w:webHidden/>
              </w:rPr>
              <w:t>92</w:t>
            </w:r>
            <w:r>
              <w:rPr>
                <w:noProof/>
                <w:webHidden/>
              </w:rPr>
              <w:fldChar w:fldCharType="end"/>
            </w:r>
          </w:hyperlink>
        </w:p>
        <w:p w14:paraId="0BFCE1E7" w14:textId="37E8042F"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31" w:history="1">
            <w:r w:rsidRPr="00C525BB">
              <w:rPr>
                <w:rStyle w:val="Hyperlink"/>
                <w:noProof/>
                <w:lang w:val="fr-CA"/>
              </w:rPr>
              <w:t>12.7.2 Panneaux tactiles aux portes – emplacement et montage</w:t>
            </w:r>
            <w:r>
              <w:rPr>
                <w:noProof/>
                <w:webHidden/>
              </w:rPr>
              <w:tab/>
            </w:r>
            <w:r>
              <w:rPr>
                <w:noProof/>
                <w:webHidden/>
              </w:rPr>
              <w:fldChar w:fldCharType="begin"/>
            </w:r>
            <w:r>
              <w:rPr>
                <w:noProof/>
                <w:webHidden/>
              </w:rPr>
              <w:instrText xml:space="preserve"> PAGEREF _Toc219706231 \h </w:instrText>
            </w:r>
            <w:r>
              <w:rPr>
                <w:noProof/>
                <w:webHidden/>
              </w:rPr>
            </w:r>
            <w:r>
              <w:rPr>
                <w:noProof/>
                <w:webHidden/>
              </w:rPr>
              <w:fldChar w:fldCharType="separate"/>
            </w:r>
            <w:r w:rsidR="00523C37">
              <w:rPr>
                <w:noProof/>
                <w:webHidden/>
              </w:rPr>
              <w:t>93</w:t>
            </w:r>
            <w:r>
              <w:rPr>
                <w:noProof/>
                <w:webHidden/>
              </w:rPr>
              <w:fldChar w:fldCharType="end"/>
            </w:r>
          </w:hyperlink>
        </w:p>
        <w:p w14:paraId="7F730BD8" w14:textId="68E5FDA9"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32" w:history="1">
            <w:r w:rsidRPr="00C525BB">
              <w:rPr>
                <w:rStyle w:val="Hyperlink"/>
                <w:noProof/>
                <w:lang w:val="fr-CA"/>
              </w:rPr>
              <w:t>12.7.3 Panneaux tactiles à hauteur des yeux</w:t>
            </w:r>
            <w:r>
              <w:rPr>
                <w:noProof/>
                <w:webHidden/>
              </w:rPr>
              <w:tab/>
            </w:r>
            <w:r>
              <w:rPr>
                <w:noProof/>
                <w:webHidden/>
              </w:rPr>
              <w:fldChar w:fldCharType="begin"/>
            </w:r>
            <w:r>
              <w:rPr>
                <w:noProof/>
                <w:webHidden/>
              </w:rPr>
              <w:instrText xml:space="preserve"> PAGEREF _Toc219706232 \h </w:instrText>
            </w:r>
            <w:r>
              <w:rPr>
                <w:noProof/>
                <w:webHidden/>
              </w:rPr>
            </w:r>
            <w:r>
              <w:rPr>
                <w:noProof/>
                <w:webHidden/>
              </w:rPr>
              <w:fldChar w:fldCharType="separate"/>
            </w:r>
            <w:r w:rsidR="00523C37">
              <w:rPr>
                <w:noProof/>
                <w:webHidden/>
              </w:rPr>
              <w:t>93</w:t>
            </w:r>
            <w:r>
              <w:rPr>
                <w:noProof/>
                <w:webHidden/>
              </w:rPr>
              <w:fldChar w:fldCharType="end"/>
            </w:r>
          </w:hyperlink>
        </w:p>
        <w:p w14:paraId="7B9A4EC2" w14:textId="1096E8DC"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33" w:history="1">
            <w:r w:rsidRPr="00C525BB">
              <w:rPr>
                <w:rStyle w:val="Hyperlink"/>
                <w:noProof/>
              </w:rPr>
              <w:t>12.7.4 Caractères tactiles</w:t>
            </w:r>
            <w:r>
              <w:rPr>
                <w:noProof/>
                <w:webHidden/>
              </w:rPr>
              <w:tab/>
            </w:r>
            <w:r>
              <w:rPr>
                <w:noProof/>
                <w:webHidden/>
              </w:rPr>
              <w:fldChar w:fldCharType="begin"/>
            </w:r>
            <w:r>
              <w:rPr>
                <w:noProof/>
                <w:webHidden/>
              </w:rPr>
              <w:instrText xml:space="preserve"> PAGEREF _Toc219706233 \h </w:instrText>
            </w:r>
            <w:r>
              <w:rPr>
                <w:noProof/>
                <w:webHidden/>
              </w:rPr>
            </w:r>
            <w:r>
              <w:rPr>
                <w:noProof/>
                <w:webHidden/>
              </w:rPr>
              <w:fldChar w:fldCharType="separate"/>
            </w:r>
            <w:r w:rsidR="00523C37">
              <w:rPr>
                <w:noProof/>
                <w:webHidden/>
              </w:rPr>
              <w:t>94</w:t>
            </w:r>
            <w:r>
              <w:rPr>
                <w:noProof/>
                <w:webHidden/>
              </w:rPr>
              <w:fldChar w:fldCharType="end"/>
            </w:r>
          </w:hyperlink>
        </w:p>
        <w:p w14:paraId="69CC5AE4" w14:textId="1D8CF0A6"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34" w:history="1">
            <w:r w:rsidRPr="00C525BB">
              <w:rPr>
                <w:rStyle w:val="Hyperlink"/>
                <w:noProof/>
              </w:rPr>
              <w:t>12.8 Braille</w:t>
            </w:r>
            <w:r>
              <w:rPr>
                <w:noProof/>
                <w:webHidden/>
              </w:rPr>
              <w:tab/>
            </w:r>
            <w:r>
              <w:rPr>
                <w:noProof/>
                <w:webHidden/>
              </w:rPr>
              <w:fldChar w:fldCharType="begin"/>
            </w:r>
            <w:r>
              <w:rPr>
                <w:noProof/>
                <w:webHidden/>
              </w:rPr>
              <w:instrText xml:space="preserve"> PAGEREF _Toc219706234 \h </w:instrText>
            </w:r>
            <w:r>
              <w:rPr>
                <w:noProof/>
                <w:webHidden/>
              </w:rPr>
            </w:r>
            <w:r>
              <w:rPr>
                <w:noProof/>
                <w:webHidden/>
              </w:rPr>
              <w:fldChar w:fldCharType="separate"/>
            </w:r>
            <w:r w:rsidR="00523C37">
              <w:rPr>
                <w:noProof/>
                <w:webHidden/>
              </w:rPr>
              <w:t>95</w:t>
            </w:r>
            <w:r>
              <w:rPr>
                <w:noProof/>
                <w:webHidden/>
              </w:rPr>
              <w:fldChar w:fldCharType="end"/>
            </w:r>
          </w:hyperlink>
        </w:p>
        <w:p w14:paraId="5FC7C4C1" w14:textId="7D75213B"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35" w:history="1">
            <w:r w:rsidRPr="00C525BB">
              <w:rPr>
                <w:rStyle w:val="Hyperlink"/>
                <w:noProof/>
              </w:rPr>
              <w:t>12.8.1 Points braille</w:t>
            </w:r>
            <w:r>
              <w:rPr>
                <w:noProof/>
                <w:webHidden/>
              </w:rPr>
              <w:tab/>
            </w:r>
            <w:r>
              <w:rPr>
                <w:noProof/>
                <w:webHidden/>
              </w:rPr>
              <w:fldChar w:fldCharType="begin"/>
            </w:r>
            <w:r>
              <w:rPr>
                <w:noProof/>
                <w:webHidden/>
              </w:rPr>
              <w:instrText xml:space="preserve"> PAGEREF _Toc219706235 \h </w:instrText>
            </w:r>
            <w:r>
              <w:rPr>
                <w:noProof/>
                <w:webHidden/>
              </w:rPr>
            </w:r>
            <w:r>
              <w:rPr>
                <w:noProof/>
                <w:webHidden/>
              </w:rPr>
              <w:fldChar w:fldCharType="separate"/>
            </w:r>
            <w:r w:rsidR="00523C37">
              <w:rPr>
                <w:noProof/>
                <w:webHidden/>
              </w:rPr>
              <w:t>96</w:t>
            </w:r>
            <w:r>
              <w:rPr>
                <w:noProof/>
                <w:webHidden/>
              </w:rPr>
              <w:fldChar w:fldCharType="end"/>
            </w:r>
          </w:hyperlink>
        </w:p>
        <w:p w14:paraId="0DD3F77C" w14:textId="1804F755"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36" w:history="1">
            <w:r w:rsidRPr="00C525BB">
              <w:rPr>
                <w:rStyle w:val="Hyperlink"/>
                <w:noProof/>
              </w:rPr>
              <w:t>12.9 Pictogrammes et symboles graphiques</w:t>
            </w:r>
            <w:r>
              <w:rPr>
                <w:noProof/>
                <w:webHidden/>
              </w:rPr>
              <w:tab/>
            </w:r>
            <w:r>
              <w:rPr>
                <w:noProof/>
                <w:webHidden/>
              </w:rPr>
              <w:fldChar w:fldCharType="begin"/>
            </w:r>
            <w:r>
              <w:rPr>
                <w:noProof/>
                <w:webHidden/>
              </w:rPr>
              <w:instrText xml:space="preserve"> PAGEREF _Toc219706236 \h </w:instrText>
            </w:r>
            <w:r>
              <w:rPr>
                <w:noProof/>
                <w:webHidden/>
              </w:rPr>
            </w:r>
            <w:r>
              <w:rPr>
                <w:noProof/>
                <w:webHidden/>
              </w:rPr>
              <w:fldChar w:fldCharType="separate"/>
            </w:r>
            <w:r w:rsidR="00523C37">
              <w:rPr>
                <w:noProof/>
                <w:webHidden/>
              </w:rPr>
              <w:t>97</w:t>
            </w:r>
            <w:r>
              <w:rPr>
                <w:noProof/>
                <w:webHidden/>
              </w:rPr>
              <w:fldChar w:fldCharType="end"/>
            </w:r>
          </w:hyperlink>
        </w:p>
        <w:p w14:paraId="17C9FB95" w14:textId="64FED0DB"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37" w:history="1">
            <w:r w:rsidRPr="00C525BB">
              <w:rPr>
                <w:rStyle w:val="Hyperlink"/>
                <w:noProof/>
              </w:rPr>
              <w:t>12.10 Dispositifs de signalisation sonores</w:t>
            </w:r>
            <w:r>
              <w:rPr>
                <w:noProof/>
                <w:webHidden/>
              </w:rPr>
              <w:tab/>
            </w:r>
            <w:r>
              <w:rPr>
                <w:noProof/>
                <w:webHidden/>
              </w:rPr>
              <w:fldChar w:fldCharType="begin"/>
            </w:r>
            <w:r>
              <w:rPr>
                <w:noProof/>
                <w:webHidden/>
              </w:rPr>
              <w:instrText xml:space="preserve"> PAGEREF _Toc219706237 \h </w:instrText>
            </w:r>
            <w:r>
              <w:rPr>
                <w:noProof/>
                <w:webHidden/>
              </w:rPr>
            </w:r>
            <w:r>
              <w:rPr>
                <w:noProof/>
                <w:webHidden/>
              </w:rPr>
              <w:fldChar w:fldCharType="separate"/>
            </w:r>
            <w:r w:rsidR="00523C37">
              <w:rPr>
                <w:noProof/>
                <w:webHidden/>
              </w:rPr>
              <w:t>99</w:t>
            </w:r>
            <w:r>
              <w:rPr>
                <w:noProof/>
                <w:webHidden/>
              </w:rPr>
              <w:fldChar w:fldCharType="end"/>
            </w:r>
          </w:hyperlink>
        </w:p>
        <w:p w14:paraId="3AC54B10" w14:textId="78355A4E"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38" w:history="1">
            <w:r w:rsidRPr="00C525BB">
              <w:rPr>
                <w:rStyle w:val="Hyperlink"/>
                <w:noProof/>
              </w:rPr>
              <w:t>12.10.1 Général</w:t>
            </w:r>
            <w:r>
              <w:rPr>
                <w:noProof/>
                <w:webHidden/>
              </w:rPr>
              <w:tab/>
            </w:r>
            <w:r>
              <w:rPr>
                <w:noProof/>
                <w:webHidden/>
              </w:rPr>
              <w:fldChar w:fldCharType="begin"/>
            </w:r>
            <w:r>
              <w:rPr>
                <w:noProof/>
                <w:webHidden/>
              </w:rPr>
              <w:instrText xml:space="preserve"> PAGEREF _Toc219706238 \h </w:instrText>
            </w:r>
            <w:r>
              <w:rPr>
                <w:noProof/>
                <w:webHidden/>
              </w:rPr>
            </w:r>
            <w:r>
              <w:rPr>
                <w:noProof/>
                <w:webHidden/>
              </w:rPr>
              <w:fldChar w:fldCharType="separate"/>
            </w:r>
            <w:r w:rsidR="00523C37">
              <w:rPr>
                <w:noProof/>
                <w:webHidden/>
              </w:rPr>
              <w:t>99</w:t>
            </w:r>
            <w:r>
              <w:rPr>
                <w:noProof/>
                <w:webHidden/>
              </w:rPr>
              <w:fldChar w:fldCharType="end"/>
            </w:r>
          </w:hyperlink>
        </w:p>
        <w:p w14:paraId="3DDD66AD" w14:textId="00FE945D"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39" w:history="1">
            <w:r w:rsidRPr="00C525BB">
              <w:rPr>
                <w:rStyle w:val="Hyperlink"/>
                <w:noProof/>
                <w:lang w:val="fr-CA"/>
              </w:rPr>
              <w:t>12.10.2 Utilisation des dispositifs de signalisation sonores</w:t>
            </w:r>
            <w:r>
              <w:rPr>
                <w:noProof/>
                <w:webHidden/>
              </w:rPr>
              <w:tab/>
            </w:r>
            <w:r>
              <w:rPr>
                <w:noProof/>
                <w:webHidden/>
              </w:rPr>
              <w:fldChar w:fldCharType="begin"/>
            </w:r>
            <w:r>
              <w:rPr>
                <w:noProof/>
                <w:webHidden/>
              </w:rPr>
              <w:instrText xml:space="preserve"> PAGEREF _Toc219706239 \h </w:instrText>
            </w:r>
            <w:r>
              <w:rPr>
                <w:noProof/>
                <w:webHidden/>
              </w:rPr>
            </w:r>
            <w:r>
              <w:rPr>
                <w:noProof/>
                <w:webHidden/>
              </w:rPr>
              <w:fldChar w:fldCharType="separate"/>
            </w:r>
            <w:r w:rsidR="00523C37">
              <w:rPr>
                <w:noProof/>
                <w:webHidden/>
              </w:rPr>
              <w:t>99</w:t>
            </w:r>
            <w:r>
              <w:rPr>
                <w:noProof/>
                <w:webHidden/>
              </w:rPr>
              <w:fldChar w:fldCharType="end"/>
            </w:r>
          </w:hyperlink>
        </w:p>
        <w:p w14:paraId="71B8C7B9" w14:textId="30E4BC79"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40" w:history="1">
            <w:r w:rsidRPr="00C525BB">
              <w:rPr>
                <w:rStyle w:val="Hyperlink"/>
                <w:noProof/>
                <w:lang w:val="fr-CA"/>
              </w:rPr>
              <w:t>12.10.3 Performance de la signalisation sonore</w:t>
            </w:r>
            <w:r>
              <w:rPr>
                <w:noProof/>
                <w:webHidden/>
              </w:rPr>
              <w:tab/>
            </w:r>
            <w:r>
              <w:rPr>
                <w:noProof/>
                <w:webHidden/>
              </w:rPr>
              <w:fldChar w:fldCharType="begin"/>
            </w:r>
            <w:r>
              <w:rPr>
                <w:noProof/>
                <w:webHidden/>
              </w:rPr>
              <w:instrText xml:space="preserve"> PAGEREF _Toc219706240 \h </w:instrText>
            </w:r>
            <w:r>
              <w:rPr>
                <w:noProof/>
                <w:webHidden/>
              </w:rPr>
            </w:r>
            <w:r>
              <w:rPr>
                <w:noProof/>
                <w:webHidden/>
              </w:rPr>
              <w:fldChar w:fldCharType="separate"/>
            </w:r>
            <w:r w:rsidR="00523C37">
              <w:rPr>
                <w:noProof/>
                <w:webHidden/>
              </w:rPr>
              <w:t>100</w:t>
            </w:r>
            <w:r>
              <w:rPr>
                <w:noProof/>
                <w:webHidden/>
              </w:rPr>
              <w:fldChar w:fldCharType="end"/>
            </w:r>
          </w:hyperlink>
        </w:p>
        <w:p w14:paraId="58D2EBFB" w14:textId="2749BB49"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41" w:history="1">
            <w:r w:rsidRPr="00C525BB">
              <w:rPr>
                <w:rStyle w:val="Hyperlink"/>
                <w:noProof/>
                <w:lang w:val="fr-CA"/>
              </w:rPr>
              <w:t>12.10.4 Activation des dispositifs de signalisation sonores</w:t>
            </w:r>
            <w:r>
              <w:rPr>
                <w:noProof/>
                <w:webHidden/>
              </w:rPr>
              <w:tab/>
            </w:r>
            <w:r>
              <w:rPr>
                <w:noProof/>
                <w:webHidden/>
              </w:rPr>
              <w:fldChar w:fldCharType="begin"/>
            </w:r>
            <w:r>
              <w:rPr>
                <w:noProof/>
                <w:webHidden/>
              </w:rPr>
              <w:instrText xml:space="preserve"> PAGEREF _Toc219706241 \h </w:instrText>
            </w:r>
            <w:r>
              <w:rPr>
                <w:noProof/>
                <w:webHidden/>
              </w:rPr>
            </w:r>
            <w:r>
              <w:rPr>
                <w:noProof/>
                <w:webHidden/>
              </w:rPr>
              <w:fldChar w:fldCharType="separate"/>
            </w:r>
            <w:r w:rsidR="00523C37">
              <w:rPr>
                <w:noProof/>
                <w:webHidden/>
              </w:rPr>
              <w:t>100</w:t>
            </w:r>
            <w:r>
              <w:rPr>
                <w:noProof/>
                <w:webHidden/>
              </w:rPr>
              <w:fldChar w:fldCharType="end"/>
            </w:r>
          </w:hyperlink>
        </w:p>
        <w:p w14:paraId="2EB3EC0E" w14:textId="4174B3E9"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42" w:history="1">
            <w:r w:rsidRPr="00C525BB">
              <w:rPr>
                <w:rStyle w:val="Hyperlink"/>
                <w:noProof/>
              </w:rPr>
              <w:t>12.10.5 Ascenseurs</w:t>
            </w:r>
            <w:r>
              <w:rPr>
                <w:noProof/>
                <w:webHidden/>
              </w:rPr>
              <w:tab/>
            </w:r>
            <w:r>
              <w:rPr>
                <w:noProof/>
                <w:webHidden/>
              </w:rPr>
              <w:fldChar w:fldCharType="begin"/>
            </w:r>
            <w:r>
              <w:rPr>
                <w:noProof/>
                <w:webHidden/>
              </w:rPr>
              <w:instrText xml:space="preserve"> PAGEREF _Toc219706242 \h </w:instrText>
            </w:r>
            <w:r>
              <w:rPr>
                <w:noProof/>
                <w:webHidden/>
              </w:rPr>
            </w:r>
            <w:r>
              <w:rPr>
                <w:noProof/>
                <w:webHidden/>
              </w:rPr>
              <w:fldChar w:fldCharType="separate"/>
            </w:r>
            <w:r w:rsidR="00523C37">
              <w:rPr>
                <w:noProof/>
                <w:webHidden/>
              </w:rPr>
              <w:t>101</w:t>
            </w:r>
            <w:r>
              <w:rPr>
                <w:noProof/>
                <w:webHidden/>
              </w:rPr>
              <w:fldChar w:fldCharType="end"/>
            </w:r>
          </w:hyperlink>
        </w:p>
        <w:p w14:paraId="47738FD4" w14:textId="60872869"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43" w:history="1">
            <w:r w:rsidRPr="00C525BB">
              <w:rPr>
                <w:rStyle w:val="Hyperlink"/>
                <w:noProof/>
              </w:rPr>
              <w:t>12.11 Signalisation électronique et numérique</w:t>
            </w:r>
            <w:r>
              <w:rPr>
                <w:noProof/>
                <w:webHidden/>
              </w:rPr>
              <w:tab/>
            </w:r>
            <w:r>
              <w:rPr>
                <w:noProof/>
                <w:webHidden/>
              </w:rPr>
              <w:fldChar w:fldCharType="begin"/>
            </w:r>
            <w:r>
              <w:rPr>
                <w:noProof/>
                <w:webHidden/>
              </w:rPr>
              <w:instrText xml:space="preserve"> PAGEREF _Toc219706243 \h </w:instrText>
            </w:r>
            <w:r>
              <w:rPr>
                <w:noProof/>
                <w:webHidden/>
              </w:rPr>
            </w:r>
            <w:r>
              <w:rPr>
                <w:noProof/>
                <w:webHidden/>
              </w:rPr>
              <w:fldChar w:fldCharType="separate"/>
            </w:r>
            <w:r w:rsidR="00523C37">
              <w:rPr>
                <w:noProof/>
                <w:webHidden/>
              </w:rPr>
              <w:t>101</w:t>
            </w:r>
            <w:r>
              <w:rPr>
                <w:noProof/>
                <w:webHidden/>
              </w:rPr>
              <w:fldChar w:fldCharType="end"/>
            </w:r>
          </w:hyperlink>
        </w:p>
        <w:p w14:paraId="3761A171" w14:textId="4771877F"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44" w:history="1">
            <w:r w:rsidRPr="00C525BB">
              <w:rPr>
                <w:rStyle w:val="Hyperlink"/>
                <w:noProof/>
              </w:rPr>
              <w:t>12.11.1 Général</w:t>
            </w:r>
            <w:r>
              <w:rPr>
                <w:noProof/>
                <w:webHidden/>
              </w:rPr>
              <w:tab/>
            </w:r>
            <w:r>
              <w:rPr>
                <w:noProof/>
                <w:webHidden/>
              </w:rPr>
              <w:fldChar w:fldCharType="begin"/>
            </w:r>
            <w:r>
              <w:rPr>
                <w:noProof/>
                <w:webHidden/>
              </w:rPr>
              <w:instrText xml:space="preserve"> PAGEREF _Toc219706244 \h </w:instrText>
            </w:r>
            <w:r>
              <w:rPr>
                <w:noProof/>
                <w:webHidden/>
              </w:rPr>
            </w:r>
            <w:r>
              <w:rPr>
                <w:noProof/>
                <w:webHidden/>
              </w:rPr>
              <w:fldChar w:fldCharType="separate"/>
            </w:r>
            <w:r w:rsidR="00523C37">
              <w:rPr>
                <w:noProof/>
                <w:webHidden/>
              </w:rPr>
              <w:t>101</w:t>
            </w:r>
            <w:r>
              <w:rPr>
                <w:noProof/>
                <w:webHidden/>
              </w:rPr>
              <w:fldChar w:fldCharType="end"/>
            </w:r>
          </w:hyperlink>
        </w:p>
        <w:p w14:paraId="377B3555" w14:textId="3847CE79"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45" w:history="1">
            <w:r w:rsidRPr="00C525BB">
              <w:rPr>
                <w:rStyle w:val="Hyperlink"/>
                <w:noProof/>
              </w:rPr>
              <w:t>12.11.2 Utilisation</w:t>
            </w:r>
            <w:r>
              <w:rPr>
                <w:noProof/>
                <w:webHidden/>
              </w:rPr>
              <w:tab/>
            </w:r>
            <w:r>
              <w:rPr>
                <w:noProof/>
                <w:webHidden/>
              </w:rPr>
              <w:fldChar w:fldCharType="begin"/>
            </w:r>
            <w:r>
              <w:rPr>
                <w:noProof/>
                <w:webHidden/>
              </w:rPr>
              <w:instrText xml:space="preserve"> PAGEREF _Toc219706245 \h </w:instrText>
            </w:r>
            <w:r>
              <w:rPr>
                <w:noProof/>
                <w:webHidden/>
              </w:rPr>
            </w:r>
            <w:r>
              <w:rPr>
                <w:noProof/>
                <w:webHidden/>
              </w:rPr>
              <w:fldChar w:fldCharType="separate"/>
            </w:r>
            <w:r w:rsidR="00523C37">
              <w:rPr>
                <w:noProof/>
                <w:webHidden/>
              </w:rPr>
              <w:t>102</w:t>
            </w:r>
            <w:r>
              <w:rPr>
                <w:noProof/>
                <w:webHidden/>
              </w:rPr>
              <w:fldChar w:fldCharType="end"/>
            </w:r>
          </w:hyperlink>
        </w:p>
        <w:p w14:paraId="0CB9CA16" w14:textId="3387CB5F"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46" w:history="1">
            <w:r w:rsidRPr="00C525BB">
              <w:rPr>
                <w:rStyle w:val="Hyperlink"/>
                <w:noProof/>
              </w:rPr>
              <w:t>12.11.3 Conception et installation</w:t>
            </w:r>
            <w:r>
              <w:rPr>
                <w:noProof/>
                <w:webHidden/>
              </w:rPr>
              <w:tab/>
            </w:r>
            <w:r>
              <w:rPr>
                <w:noProof/>
                <w:webHidden/>
              </w:rPr>
              <w:fldChar w:fldCharType="begin"/>
            </w:r>
            <w:r>
              <w:rPr>
                <w:noProof/>
                <w:webHidden/>
              </w:rPr>
              <w:instrText xml:space="preserve"> PAGEREF _Toc219706246 \h </w:instrText>
            </w:r>
            <w:r>
              <w:rPr>
                <w:noProof/>
                <w:webHidden/>
              </w:rPr>
            </w:r>
            <w:r>
              <w:rPr>
                <w:noProof/>
                <w:webHidden/>
              </w:rPr>
              <w:fldChar w:fldCharType="separate"/>
            </w:r>
            <w:r w:rsidR="00523C37">
              <w:rPr>
                <w:noProof/>
                <w:webHidden/>
              </w:rPr>
              <w:t>103</w:t>
            </w:r>
            <w:r>
              <w:rPr>
                <w:noProof/>
                <w:webHidden/>
              </w:rPr>
              <w:fldChar w:fldCharType="end"/>
            </w:r>
          </w:hyperlink>
        </w:p>
        <w:p w14:paraId="4E8A570D" w14:textId="2BA6B5C5"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47" w:history="1">
            <w:r w:rsidRPr="00C525BB">
              <w:rPr>
                <w:rStyle w:val="Hyperlink"/>
                <w:noProof/>
              </w:rPr>
              <w:t>12.11.4 Illumination</w:t>
            </w:r>
            <w:r>
              <w:rPr>
                <w:noProof/>
                <w:webHidden/>
              </w:rPr>
              <w:tab/>
            </w:r>
            <w:r>
              <w:rPr>
                <w:noProof/>
                <w:webHidden/>
              </w:rPr>
              <w:fldChar w:fldCharType="begin"/>
            </w:r>
            <w:r>
              <w:rPr>
                <w:noProof/>
                <w:webHidden/>
              </w:rPr>
              <w:instrText xml:space="preserve"> PAGEREF _Toc219706247 \h </w:instrText>
            </w:r>
            <w:r>
              <w:rPr>
                <w:noProof/>
                <w:webHidden/>
              </w:rPr>
            </w:r>
            <w:r>
              <w:rPr>
                <w:noProof/>
                <w:webHidden/>
              </w:rPr>
              <w:fldChar w:fldCharType="separate"/>
            </w:r>
            <w:r w:rsidR="00523C37">
              <w:rPr>
                <w:noProof/>
                <w:webHidden/>
              </w:rPr>
              <w:t>104</w:t>
            </w:r>
            <w:r>
              <w:rPr>
                <w:noProof/>
                <w:webHidden/>
              </w:rPr>
              <w:fldChar w:fldCharType="end"/>
            </w:r>
          </w:hyperlink>
        </w:p>
        <w:p w14:paraId="2C3A7C3E" w14:textId="07F24283"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48" w:history="1">
            <w:r w:rsidRPr="00C525BB">
              <w:rPr>
                <w:rStyle w:val="Hyperlink"/>
                <w:noProof/>
              </w:rPr>
              <w:t>12.11.5 Réflectivité et visibilité claire</w:t>
            </w:r>
            <w:r>
              <w:rPr>
                <w:noProof/>
                <w:webHidden/>
              </w:rPr>
              <w:tab/>
            </w:r>
            <w:r>
              <w:rPr>
                <w:noProof/>
                <w:webHidden/>
              </w:rPr>
              <w:fldChar w:fldCharType="begin"/>
            </w:r>
            <w:r>
              <w:rPr>
                <w:noProof/>
                <w:webHidden/>
              </w:rPr>
              <w:instrText xml:space="preserve"> PAGEREF _Toc219706248 \h </w:instrText>
            </w:r>
            <w:r>
              <w:rPr>
                <w:noProof/>
                <w:webHidden/>
              </w:rPr>
            </w:r>
            <w:r>
              <w:rPr>
                <w:noProof/>
                <w:webHidden/>
              </w:rPr>
              <w:fldChar w:fldCharType="separate"/>
            </w:r>
            <w:r w:rsidR="00523C37">
              <w:rPr>
                <w:noProof/>
                <w:webHidden/>
              </w:rPr>
              <w:t>104</w:t>
            </w:r>
            <w:r>
              <w:rPr>
                <w:noProof/>
                <w:webHidden/>
              </w:rPr>
              <w:fldChar w:fldCharType="end"/>
            </w:r>
          </w:hyperlink>
        </w:p>
        <w:p w14:paraId="5ABD2D4A" w14:textId="53D298A1"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49" w:history="1">
            <w:r w:rsidRPr="00C525BB">
              <w:rPr>
                <w:rStyle w:val="Hyperlink"/>
                <w:noProof/>
              </w:rPr>
              <w:t>12.11.6 Facteurs de couleur</w:t>
            </w:r>
            <w:r>
              <w:rPr>
                <w:noProof/>
                <w:webHidden/>
              </w:rPr>
              <w:tab/>
            </w:r>
            <w:r>
              <w:rPr>
                <w:noProof/>
                <w:webHidden/>
              </w:rPr>
              <w:fldChar w:fldCharType="begin"/>
            </w:r>
            <w:r>
              <w:rPr>
                <w:noProof/>
                <w:webHidden/>
              </w:rPr>
              <w:instrText xml:space="preserve"> PAGEREF _Toc219706249 \h </w:instrText>
            </w:r>
            <w:r>
              <w:rPr>
                <w:noProof/>
                <w:webHidden/>
              </w:rPr>
            </w:r>
            <w:r>
              <w:rPr>
                <w:noProof/>
                <w:webHidden/>
              </w:rPr>
              <w:fldChar w:fldCharType="separate"/>
            </w:r>
            <w:r w:rsidR="00523C37">
              <w:rPr>
                <w:noProof/>
                <w:webHidden/>
              </w:rPr>
              <w:t>105</w:t>
            </w:r>
            <w:r>
              <w:rPr>
                <w:noProof/>
                <w:webHidden/>
              </w:rPr>
              <w:fldChar w:fldCharType="end"/>
            </w:r>
          </w:hyperlink>
        </w:p>
        <w:p w14:paraId="267F56C3" w14:textId="67A69B42"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50" w:history="1">
            <w:r w:rsidRPr="00C525BB">
              <w:rPr>
                <w:rStyle w:val="Hyperlink"/>
                <w:noProof/>
              </w:rPr>
              <w:t>12.11.7 Messagerie</w:t>
            </w:r>
            <w:r>
              <w:rPr>
                <w:noProof/>
                <w:webHidden/>
              </w:rPr>
              <w:tab/>
            </w:r>
            <w:r>
              <w:rPr>
                <w:noProof/>
                <w:webHidden/>
              </w:rPr>
              <w:fldChar w:fldCharType="begin"/>
            </w:r>
            <w:r>
              <w:rPr>
                <w:noProof/>
                <w:webHidden/>
              </w:rPr>
              <w:instrText xml:space="preserve"> PAGEREF _Toc219706250 \h </w:instrText>
            </w:r>
            <w:r>
              <w:rPr>
                <w:noProof/>
                <w:webHidden/>
              </w:rPr>
            </w:r>
            <w:r>
              <w:rPr>
                <w:noProof/>
                <w:webHidden/>
              </w:rPr>
              <w:fldChar w:fldCharType="separate"/>
            </w:r>
            <w:r w:rsidR="00523C37">
              <w:rPr>
                <w:noProof/>
                <w:webHidden/>
              </w:rPr>
              <w:t>106</w:t>
            </w:r>
            <w:r>
              <w:rPr>
                <w:noProof/>
                <w:webHidden/>
              </w:rPr>
              <w:fldChar w:fldCharType="end"/>
            </w:r>
          </w:hyperlink>
        </w:p>
        <w:p w14:paraId="7E30395F" w14:textId="647702E8"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51" w:history="1">
            <w:r w:rsidRPr="00C525BB">
              <w:rPr>
                <w:rStyle w:val="Hyperlink"/>
                <w:noProof/>
                <w:lang w:val="fr-CA"/>
              </w:rPr>
              <w:t>12.11.8 Animations, éléments clignotants et graphiques</w:t>
            </w:r>
            <w:r>
              <w:rPr>
                <w:noProof/>
                <w:webHidden/>
              </w:rPr>
              <w:tab/>
            </w:r>
            <w:r>
              <w:rPr>
                <w:noProof/>
                <w:webHidden/>
              </w:rPr>
              <w:fldChar w:fldCharType="begin"/>
            </w:r>
            <w:r>
              <w:rPr>
                <w:noProof/>
                <w:webHidden/>
              </w:rPr>
              <w:instrText xml:space="preserve"> PAGEREF _Toc219706251 \h </w:instrText>
            </w:r>
            <w:r>
              <w:rPr>
                <w:noProof/>
                <w:webHidden/>
              </w:rPr>
            </w:r>
            <w:r>
              <w:rPr>
                <w:noProof/>
                <w:webHidden/>
              </w:rPr>
              <w:fldChar w:fldCharType="separate"/>
            </w:r>
            <w:r w:rsidR="00523C37">
              <w:rPr>
                <w:noProof/>
                <w:webHidden/>
              </w:rPr>
              <w:t>106</w:t>
            </w:r>
            <w:r>
              <w:rPr>
                <w:noProof/>
                <w:webHidden/>
              </w:rPr>
              <w:fldChar w:fldCharType="end"/>
            </w:r>
          </w:hyperlink>
        </w:p>
        <w:p w14:paraId="1B15FD1B" w14:textId="45DEBFB5" w:rsidR="00C849C5" w:rsidRDefault="00C849C5">
          <w:pPr>
            <w:pStyle w:val="TOC3"/>
            <w:tabs>
              <w:tab w:val="right" w:leader="dot" w:pos="9350"/>
            </w:tabs>
            <w:rPr>
              <w:rFonts w:asciiTheme="minorHAnsi" w:eastAsiaTheme="minorEastAsia" w:hAnsiTheme="minorHAnsi"/>
              <w:noProof/>
              <w:sz w:val="24"/>
              <w:szCs w:val="24"/>
              <w:lang w:eastAsia="en-CA"/>
            </w:rPr>
          </w:pPr>
          <w:hyperlink w:anchor="_Toc219706252" w:history="1">
            <w:r w:rsidRPr="00C525BB">
              <w:rPr>
                <w:rStyle w:val="Hyperlink"/>
                <w:noProof/>
              </w:rPr>
              <w:t>12.11.9 Acoustique</w:t>
            </w:r>
            <w:r>
              <w:rPr>
                <w:noProof/>
                <w:webHidden/>
              </w:rPr>
              <w:tab/>
            </w:r>
            <w:r>
              <w:rPr>
                <w:noProof/>
                <w:webHidden/>
              </w:rPr>
              <w:fldChar w:fldCharType="begin"/>
            </w:r>
            <w:r>
              <w:rPr>
                <w:noProof/>
                <w:webHidden/>
              </w:rPr>
              <w:instrText xml:space="preserve"> PAGEREF _Toc219706252 \h </w:instrText>
            </w:r>
            <w:r>
              <w:rPr>
                <w:noProof/>
                <w:webHidden/>
              </w:rPr>
            </w:r>
            <w:r>
              <w:rPr>
                <w:noProof/>
                <w:webHidden/>
              </w:rPr>
              <w:fldChar w:fldCharType="separate"/>
            </w:r>
            <w:r w:rsidR="00523C37">
              <w:rPr>
                <w:noProof/>
                <w:webHidden/>
              </w:rPr>
              <w:t>107</w:t>
            </w:r>
            <w:r>
              <w:rPr>
                <w:noProof/>
                <w:webHidden/>
              </w:rPr>
              <w:fldChar w:fldCharType="end"/>
            </w:r>
          </w:hyperlink>
        </w:p>
        <w:p w14:paraId="359BB792" w14:textId="11398B6C" w:rsidR="00C849C5" w:rsidRDefault="00C849C5">
          <w:pPr>
            <w:pStyle w:val="TOC1"/>
            <w:tabs>
              <w:tab w:val="right" w:leader="dot" w:pos="9350"/>
            </w:tabs>
            <w:rPr>
              <w:rFonts w:asciiTheme="minorHAnsi" w:eastAsiaTheme="minorEastAsia" w:hAnsiTheme="minorHAnsi"/>
              <w:noProof/>
              <w:sz w:val="24"/>
              <w:szCs w:val="24"/>
              <w:lang w:eastAsia="en-CA"/>
            </w:rPr>
          </w:pPr>
          <w:hyperlink w:anchor="_Toc219706253" w:history="1">
            <w:r w:rsidRPr="00C525BB">
              <w:rPr>
                <w:rStyle w:val="Hyperlink"/>
                <w:noProof/>
              </w:rPr>
              <w:t>13 Cartes (non tactiles)</w:t>
            </w:r>
            <w:r>
              <w:rPr>
                <w:noProof/>
                <w:webHidden/>
              </w:rPr>
              <w:tab/>
            </w:r>
            <w:r>
              <w:rPr>
                <w:noProof/>
                <w:webHidden/>
              </w:rPr>
              <w:fldChar w:fldCharType="begin"/>
            </w:r>
            <w:r>
              <w:rPr>
                <w:noProof/>
                <w:webHidden/>
              </w:rPr>
              <w:instrText xml:space="preserve"> PAGEREF _Toc219706253 \h </w:instrText>
            </w:r>
            <w:r>
              <w:rPr>
                <w:noProof/>
                <w:webHidden/>
              </w:rPr>
            </w:r>
            <w:r>
              <w:rPr>
                <w:noProof/>
                <w:webHidden/>
              </w:rPr>
              <w:fldChar w:fldCharType="separate"/>
            </w:r>
            <w:r w:rsidR="00523C37">
              <w:rPr>
                <w:noProof/>
                <w:webHidden/>
              </w:rPr>
              <w:t>109</w:t>
            </w:r>
            <w:r>
              <w:rPr>
                <w:noProof/>
                <w:webHidden/>
              </w:rPr>
              <w:fldChar w:fldCharType="end"/>
            </w:r>
          </w:hyperlink>
        </w:p>
        <w:p w14:paraId="31DE2FCF" w14:textId="5DFFBBE5"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54" w:history="1">
            <w:r w:rsidRPr="00C525BB">
              <w:rPr>
                <w:rStyle w:val="Hyperlink"/>
                <w:noProof/>
              </w:rPr>
              <w:t>13.1 Général</w:t>
            </w:r>
            <w:r>
              <w:rPr>
                <w:noProof/>
                <w:webHidden/>
              </w:rPr>
              <w:tab/>
            </w:r>
            <w:r>
              <w:rPr>
                <w:noProof/>
                <w:webHidden/>
              </w:rPr>
              <w:fldChar w:fldCharType="begin"/>
            </w:r>
            <w:r>
              <w:rPr>
                <w:noProof/>
                <w:webHidden/>
              </w:rPr>
              <w:instrText xml:space="preserve"> PAGEREF _Toc219706254 \h </w:instrText>
            </w:r>
            <w:r>
              <w:rPr>
                <w:noProof/>
                <w:webHidden/>
              </w:rPr>
            </w:r>
            <w:r>
              <w:rPr>
                <w:noProof/>
                <w:webHidden/>
              </w:rPr>
              <w:fldChar w:fldCharType="separate"/>
            </w:r>
            <w:r w:rsidR="00523C37">
              <w:rPr>
                <w:noProof/>
                <w:webHidden/>
              </w:rPr>
              <w:t>109</w:t>
            </w:r>
            <w:r>
              <w:rPr>
                <w:noProof/>
                <w:webHidden/>
              </w:rPr>
              <w:fldChar w:fldCharType="end"/>
            </w:r>
          </w:hyperlink>
        </w:p>
        <w:p w14:paraId="33DCF4E3" w14:textId="0B0523F0"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55" w:history="1">
            <w:r w:rsidRPr="00C525BB">
              <w:rPr>
                <w:rStyle w:val="Hyperlink"/>
                <w:noProof/>
              </w:rPr>
              <w:t>13.2 Informations affichées</w:t>
            </w:r>
            <w:r>
              <w:rPr>
                <w:noProof/>
                <w:webHidden/>
              </w:rPr>
              <w:tab/>
            </w:r>
            <w:r>
              <w:rPr>
                <w:noProof/>
                <w:webHidden/>
              </w:rPr>
              <w:fldChar w:fldCharType="begin"/>
            </w:r>
            <w:r>
              <w:rPr>
                <w:noProof/>
                <w:webHidden/>
              </w:rPr>
              <w:instrText xml:space="preserve"> PAGEREF _Toc219706255 \h </w:instrText>
            </w:r>
            <w:r>
              <w:rPr>
                <w:noProof/>
                <w:webHidden/>
              </w:rPr>
            </w:r>
            <w:r>
              <w:rPr>
                <w:noProof/>
                <w:webHidden/>
              </w:rPr>
              <w:fldChar w:fldCharType="separate"/>
            </w:r>
            <w:r w:rsidR="00523C37">
              <w:rPr>
                <w:noProof/>
                <w:webHidden/>
              </w:rPr>
              <w:t>109</w:t>
            </w:r>
            <w:r>
              <w:rPr>
                <w:noProof/>
                <w:webHidden/>
              </w:rPr>
              <w:fldChar w:fldCharType="end"/>
            </w:r>
          </w:hyperlink>
        </w:p>
        <w:p w14:paraId="3EAB7664" w14:textId="72B8DC61"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56" w:history="1">
            <w:r w:rsidRPr="00C525BB">
              <w:rPr>
                <w:rStyle w:val="Hyperlink"/>
                <w:noProof/>
              </w:rPr>
              <w:t>13.3 Conception</w:t>
            </w:r>
            <w:r>
              <w:rPr>
                <w:noProof/>
                <w:webHidden/>
              </w:rPr>
              <w:tab/>
            </w:r>
            <w:r>
              <w:rPr>
                <w:noProof/>
                <w:webHidden/>
              </w:rPr>
              <w:fldChar w:fldCharType="begin"/>
            </w:r>
            <w:r>
              <w:rPr>
                <w:noProof/>
                <w:webHidden/>
              </w:rPr>
              <w:instrText xml:space="preserve"> PAGEREF _Toc219706256 \h </w:instrText>
            </w:r>
            <w:r>
              <w:rPr>
                <w:noProof/>
                <w:webHidden/>
              </w:rPr>
            </w:r>
            <w:r>
              <w:rPr>
                <w:noProof/>
                <w:webHidden/>
              </w:rPr>
              <w:fldChar w:fldCharType="separate"/>
            </w:r>
            <w:r w:rsidR="00523C37">
              <w:rPr>
                <w:noProof/>
                <w:webHidden/>
              </w:rPr>
              <w:t>109</w:t>
            </w:r>
            <w:r>
              <w:rPr>
                <w:noProof/>
                <w:webHidden/>
              </w:rPr>
              <w:fldChar w:fldCharType="end"/>
            </w:r>
          </w:hyperlink>
        </w:p>
        <w:p w14:paraId="52E9B092" w14:textId="6A6AEE58"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57" w:history="1">
            <w:r w:rsidRPr="00C525BB">
              <w:rPr>
                <w:rStyle w:val="Hyperlink"/>
                <w:noProof/>
              </w:rPr>
              <w:t>13.4 Orientation</w:t>
            </w:r>
            <w:r>
              <w:rPr>
                <w:noProof/>
                <w:webHidden/>
              </w:rPr>
              <w:tab/>
            </w:r>
            <w:r>
              <w:rPr>
                <w:noProof/>
                <w:webHidden/>
              </w:rPr>
              <w:fldChar w:fldCharType="begin"/>
            </w:r>
            <w:r>
              <w:rPr>
                <w:noProof/>
                <w:webHidden/>
              </w:rPr>
              <w:instrText xml:space="preserve"> PAGEREF _Toc219706257 \h </w:instrText>
            </w:r>
            <w:r>
              <w:rPr>
                <w:noProof/>
                <w:webHidden/>
              </w:rPr>
            </w:r>
            <w:r>
              <w:rPr>
                <w:noProof/>
                <w:webHidden/>
              </w:rPr>
              <w:fldChar w:fldCharType="separate"/>
            </w:r>
            <w:r w:rsidR="00523C37">
              <w:rPr>
                <w:noProof/>
                <w:webHidden/>
              </w:rPr>
              <w:t>110</w:t>
            </w:r>
            <w:r>
              <w:rPr>
                <w:noProof/>
                <w:webHidden/>
              </w:rPr>
              <w:fldChar w:fldCharType="end"/>
            </w:r>
          </w:hyperlink>
        </w:p>
        <w:p w14:paraId="6A27AD80" w14:textId="6C5C3E0D"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58" w:history="1">
            <w:r w:rsidRPr="00C525BB">
              <w:rPr>
                <w:rStyle w:val="Hyperlink"/>
                <w:noProof/>
              </w:rPr>
              <w:t>13.5 Légende</w:t>
            </w:r>
            <w:r>
              <w:rPr>
                <w:noProof/>
                <w:webHidden/>
              </w:rPr>
              <w:tab/>
            </w:r>
            <w:r>
              <w:rPr>
                <w:noProof/>
                <w:webHidden/>
              </w:rPr>
              <w:fldChar w:fldCharType="begin"/>
            </w:r>
            <w:r>
              <w:rPr>
                <w:noProof/>
                <w:webHidden/>
              </w:rPr>
              <w:instrText xml:space="preserve"> PAGEREF _Toc219706258 \h </w:instrText>
            </w:r>
            <w:r>
              <w:rPr>
                <w:noProof/>
                <w:webHidden/>
              </w:rPr>
            </w:r>
            <w:r>
              <w:rPr>
                <w:noProof/>
                <w:webHidden/>
              </w:rPr>
              <w:fldChar w:fldCharType="separate"/>
            </w:r>
            <w:r w:rsidR="00523C37">
              <w:rPr>
                <w:noProof/>
                <w:webHidden/>
              </w:rPr>
              <w:t>110</w:t>
            </w:r>
            <w:r>
              <w:rPr>
                <w:noProof/>
                <w:webHidden/>
              </w:rPr>
              <w:fldChar w:fldCharType="end"/>
            </w:r>
          </w:hyperlink>
        </w:p>
        <w:p w14:paraId="0F37E6E3" w14:textId="779A74DA"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59" w:history="1">
            <w:r w:rsidRPr="00C525BB">
              <w:rPr>
                <w:rStyle w:val="Hyperlink"/>
                <w:noProof/>
              </w:rPr>
              <w:t>13.6 Index</w:t>
            </w:r>
            <w:r>
              <w:rPr>
                <w:noProof/>
                <w:webHidden/>
              </w:rPr>
              <w:tab/>
            </w:r>
            <w:r>
              <w:rPr>
                <w:noProof/>
                <w:webHidden/>
              </w:rPr>
              <w:fldChar w:fldCharType="begin"/>
            </w:r>
            <w:r>
              <w:rPr>
                <w:noProof/>
                <w:webHidden/>
              </w:rPr>
              <w:instrText xml:space="preserve"> PAGEREF _Toc219706259 \h </w:instrText>
            </w:r>
            <w:r>
              <w:rPr>
                <w:noProof/>
                <w:webHidden/>
              </w:rPr>
            </w:r>
            <w:r>
              <w:rPr>
                <w:noProof/>
                <w:webHidden/>
              </w:rPr>
              <w:fldChar w:fldCharType="separate"/>
            </w:r>
            <w:r w:rsidR="00523C37">
              <w:rPr>
                <w:noProof/>
                <w:webHidden/>
              </w:rPr>
              <w:t>110</w:t>
            </w:r>
            <w:r>
              <w:rPr>
                <w:noProof/>
                <w:webHidden/>
              </w:rPr>
              <w:fldChar w:fldCharType="end"/>
            </w:r>
          </w:hyperlink>
        </w:p>
        <w:p w14:paraId="6EA14EB4" w14:textId="0DB2EB1A"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60" w:history="1">
            <w:r w:rsidRPr="00C525BB">
              <w:rPr>
                <w:rStyle w:val="Hyperlink"/>
                <w:noProof/>
              </w:rPr>
              <w:t>13.7 Échelle</w:t>
            </w:r>
            <w:r>
              <w:rPr>
                <w:noProof/>
                <w:webHidden/>
              </w:rPr>
              <w:tab/>
            </w:r>
            <w:r>
              <w:rPr>
                <w:noProof/>
                <w:webHidden/>
              </w:rPr>
              <w:fldChar w:fldCharType="begin"/>
            </w:r>
            <w:r>
              <w:rPr>
                <w:noProof/>
                <w:webHidden/>
              </w:rPr>
              <w:instrText xml:space="preserve"> PAGEREF _Toc219706260 \h </w:instrText>
            </w:r>
            <w:r>
              <w:rPr>
                <w:noProof/>
                <w:webHidden/>
              </w:rPr>
            </w:r>
            <w:r>
              <w:rPr>
                <w:noProof/>
                <w:webHidden/>
              </w:rPr>
              <w:fldChar w:fldCharType="separate"/>
            </w:r>
            <w:r w:rsidR="00523C37">
              <w:rPr>
                <w:noProof/>
                <w:webHidden/>
              </w:rPr>
              <w:t>110</w:t>
            </w:r>
            <w:r>
              <w:rPr>
                <w:noProof/>
                <w:webHidden/>
              </w:rPr>
              <w:fldChar w:fldCharType="end"/>
            </w:r>
          </w:hyperlink>
        </w:p>
        <w:p w14:paraId="3D555118" w14:textId="32615616"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61" w:history="1">
            <w:r w:rsidRPr="00C525BB">
              <w:rPr>
                <w:rStyle w:val="Hyperlink"/>
                <w:noProof/>
              </w:rPr>
              <w:t>13.8 Positionnement</w:t>
            </w:r>
            <w:r>
              <w:rPr>
                <w:noProof/>
                <w:webHidden/>
              </w:rPr>
              <w:tab/>
            </w:r>
            <w:r>
              <w:rPr>
                <w:noProof/>
                <w:webHidden/>
              </w:rPr>
              <w:fldChar w:fldCharType="begin"/>
            </w:r>
            <w:r>
              <w:rPr>
                <w:noProof/>
                <w:webHidden/>
              </w:rPr>
              <w:instrText xml:space="preserve"> PAGEREF _Toc219706261 \h </w:instrText>
            </w:r>
            <w:r>
              <w:rPr>
                <w:noProof/>
                <w:webHidden/>
              </w:rPr>
            </w:r>
            <w:r>
              <w:rPr>
                <w:noProof/>
                <w:webHidden/>
              </w:rPr>
              <w:fldChar w:fldCharType="separate"/>
            </w:r>
            <w:r w:rsidR="00523C37">
              <w:rPr>
                <w:noProof/>
                <w:webHidden/>
              </w:rPr>
              <w:t>110</w:t>
            </w:r>
            <w:r>
              <w:rPr>
                <w:noProof/>
                <w:webHidden/>
              </w:rPr>
              <w:fldChar w:fldCharType="end"/>
            </w:r>
          </w:hyperlink>
        </w:p>
        <w:p w14:paraId="0D14C962" w14:textId="28D3868A"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62" w:history="1">
            <w:r w:rsidRPr="00C525BB">
              <w:rPr>
                <w:rStyle w:val="Hyperlink"/>
                <w:noProof/>
              </w:rPr>
              <w:t>13.9 Éléments commerciaux</w:t>
            </w:r>
            <w:r>
              <w:rPr>
                <w:noProof/>
                <w:webHidden/>
              </w:rPr>
              <w:tab/>
            </w:r>
            <w:r>
              <w:rPr>
                <w:noProof/>
                <w:webHidden/>
              </w:rPr>
              <w:fldChar w:fldCharType="begin"/>
            </w:r>
            <w:r>
              <w:rPr>
                <w:noProof/>
                <w:webHidden/>
              </w:rPr>
              <w:instrText xml:space="preserve"> PAGEREF _Toc219706262 \h </w:instrText>
            </w:r>
            <w:r>
              <w:rPr>
                <w:noProof/>
                <w:webHidden/>
              </w:rPr>
            </w:r>
            <w:r>
              <w:rPr>
                <w:noProof/>
                <w:webHidden/>
              </w:rPr>
              <w:fldChar w:fldCharType="separate"/>
            </w:r>
            <w:r w:rsidR="00523C37">
              <w:rPr>
                <w:noProof/>
                <w:webHidden/>
              </w:rPr>
              <w:t>111</w:t>
            </w:r>
            <w:r>
              <w:rPr>
                <w:noProof/>
                <w:webHidden/>
              </w:rPr>
              <w:fldChar w:fldCharType="end"/>
            </w:r>
          </w:hyperlink>
        </w:p>
        <w:p w14:paraId="717E68E6" w14:textId="56510F07"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63" w:history="1">
            <w:r w:rsidRPr="00C525BB">
              <w:rPr>
                <w:rStyle w:val="Hyperlink"/>
                <w:noProof/>
              </w:rPr>
              <w:t>13.10 Construction et entretien</w:t>
            </w:r>
            <w:r>
              <w:rPr>
                <w:noProof/>
                <w:webHidden/>
              </w:rPr>
              <w:tab/>
            </w:r>
            <w:r>
              <w:rPr>
                <w:noProof/>
                <w:webHidden/>
              </w:rPr>
              <w:fldChar w:fldCharType="begin"/>
            </w:r>
            <w:r>
              <w:rPr>
                <w:noProof/>
                <w:webHidden/>
              </w:rPr>
              <w:instrText xml:space="preserve"> PAGEREF _Toc219706263 \h </w:instrText>
            </w:r>
            <w:r>
              <w:rPr>
                <w:noProof/>
                <w:webHidden/>
              </w:rPr>
            </w:r>
            <w:r>
              <w:rPr>
                <w:noProof/>
                <w:webHidden/>
              </w:rPr>
              <w:fldChar w:fldCharType="separate"/>
            </w:r>
            <w:r w:rsidR="00523C37">
              <w:rPr>
                <w:noProof/>
                <w:webHidden/>
              </w:rPr>
              <w:t>111</w:t>
            </w:r>
            <w:r>
              <w:rPr>
                <w:noProof/>
                <w:webHidden/>
              </w:rPr>
              <w:fldChar w:fldCharType="end"/>
            </w:r>
          </w:hyperlink>
        </w:p>
        <w:p w14:paraId="198B3784" w14:textId="01871680" w:rsidR="00C849C5" w:rsidRDefault="00C849C5">
          <w:pPr>
            <w:pStyle w:val="TOC1"/>
            <w:tabs>
              <w:tab w:val="right" w:leader="dot" w:pos="9350"/>
            </w:tabs>
            <w:rPr>
              <w:rFonts w:asciiTheme="minorHAnsi" w:eastAsiaTheme="minorEastAsia" w:hAnsiTheme="minorHAnsi"/>
              <w:noProof/>
              <w:sz w:val="24"/>
              <w:szCs w:val="24"/>
              <w:lang w:eastAsia="en-CA"/>
            </w:rPr>
          </w:pPr>
          <w:hyperlink w:anchor="_Toc219706264" w:history="1">
            <w:r w:rsidRPr="00C525BB">
              <w:rPr>
                <w:rStyle w:val="Hyperlink"/>
                <w:noProof/>
                <w:lang w:val="fr-CA"/>
              </w:rPr>
              <w:t>14 Annexe A : Mesure de la résistance au glissement (à titre informatif)</w:t>
            </w:r>
            <w:r>
              <w:rPr>
                <w:noProof/>
                <w:webHidden/>
              </w:rPr>
              <w:tab/>
            </w:r>
            <w:r>
              <w:rPr>
                <w:noProof/>
                <w:webHidden/>
              </w:rPr>
              <w:fldChar w:fldCharType="begin"/>
            </w:r>
            <w:r>
              <w:rPr>
                <w:noProof/>
                <w:webHidden/>
              </w:rPr>
              <w:instrText xml:space="preserve"> PAGEREF _Toc219706264 \h </w:instrText>
            </w:r>
            <w:r>
              <w:rPr>
                <w:noProof/>
                <w:webHidden/>
              </w:rPr>
            </w:r>
            <w:r>
              <w:rPr>
                <w:noProof/>
                <w:webHidden/>
              </w:rPr>
              <w:fldChar w:fldCharType="separate"/>
            </w:r>
            <w:r w:rsidR="00523C37">
              <w:rPr>
                <w:noProof/>
                <w:webHidden/>
              </w:rPr>
              <w:t>112</w:t>
            </w:r>
            <w:r>
              <w:rPr>
                <w:noProof/>
                <w:webHidden/>
              </w:rPr>
              <w:fldChar w:fldCharType="end"/>
            </w:r>
          </w:hyperlink>
        </w:p>
        <w:p w14:paraId="0CDD9574" w14:textId="7BF1ADF6" w:rsidR="00C849C5" w:rsidRDefault="00C849C5">
          <w:pPr>
            <w:pStyle w:val="TOC1"/>
            <w:tabs>
              <w:tab w:val="right" w:leader="dot" w:pos="9350"/>
            </w:tabs>
            <w:rPr>
              <w:rFonts w:asciiTheme="minorHAnsi" w:eastAsiaTheme="minorEastAsia" w:hAnsiTheme="minorHAnsi"/>
              <w:noProof/>
              <w:sz w:val="24"/>
              <w:szCs w:val="24"/>
              <w:lang w:eastAsia="en-CA"/>
            </w:rPr>
          </w:pPr>
          <w:hyperlink w:anchor="_Toc219706265" w:history="1">
            <w:r w:rsidRPr="00C525BB">
              <w:rPr>
                <w:rStyle w:val="Hyperlink"/>
                <w:noProof/>
                <w:lang w:val="fr-CA"/>
              </w:rPr>
              <w:t>15 Annexe B : Bibliographie (</w:t>
            </w:r>
            <w:r w:rsidRPr="00C525BB">
              <w:rPr>
                <w:rStyle w:val="Hyperlink"/>
                <w:rFonts w:cs="Arial"/>
                <w:noProof/>
                <w:lang w:val="fr-CA"/>
              </w:rPr>
              <w:t>à</w:t>
            </w:r>
            <w:r w:rsidRPr="00C525BB">
              <w:rPr>
                <w:rStyle w:val="Hyperlink"/>
                <w:noProof/>
                <w:lang w:val="fr-CA"/>
              </w:rPr>
              <w:t xml:space="preserve"> titre informatif)</w:t>
            </w:r>
            <w:r>
              <w:rPr>
                <w:noProof/>
                <w:webHidden/>
              </w:rPr>
              <w:tab/>
            </w:r>
            <w:r>
              <w:rPr>
                <w:noProof/>
                <w:webHidden/>
              </w:rPr>
              <w:fldChar w:fldCharType="begin"/>
            </w:r>
            <w:r>
              <w:rPr>
                <w:noProof/>
                <w:webHidden/>
              </w:rPr>
              <w:instrText xml:space="preserve"> PAGEREF _Toc219706265 \h </w:instrText>
            </w:r>
            <w:r>
              <w:rPr>
                <w:noProof/>
                <w:webHidden/>
              </w:rPr>
            </w:r>
            <w:r>
              <w:rPr>
                <w:noProof/>
                <w:webHidden/>
              </w:rPr>
              <w:fldChar w:fldCharType="separate"/>
            </w:r>
            <w:r w:rsidR="00523C37">
              <w:rPr>
                <w:noProof/>
                <w:webHidden/>
              </w:rPr>
              <w:t>115</w:t>
            </w:r>
            <w:r>
              <w:rPr>
                <w:noProof/>
                <w:webHidden/>
              </w:rPr>
              <w:fldChar w:fldCharType="end"/>
            </w:r>
          </w:hyperlink>
        </w:p>
        <w:p w14:paraId="2BBB3618" w14:textId="39FC5A4B"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66" w:history="1">
            <w:r w:rsidRPr="00C525BB">
              <w:rPr>
                <w:rStyle w:val="Hyperlink"/>
                <w:noProof/>
              </w:rPr>
              <w:t>15.1 Actes</w:t>
            </w:r>
            <w:r>
              <w:rPr>
                <w:noProof/>
                <w:webHidden/>
              </w:rPr>
              <w:tab/>
            </w:r>
            <w:r>
              <w:rPr>
                <w:noProof/>
                <w:webHidden/>
              </w:rPr>
              <w:fldChar w:fldCharType="begin"/>
            </w:r>
            <w:r>
              <w:rPr>
                <w:noProof/>
                <w:webHidden/>
              </w:rPr>
              <w:instrText xml:space="preserve"> PAGEREF _Toc219706266 \h </w:instrText>
            </w:r>
            <w:r>
              <w:rPr>
                <w:noProof/>
                <w:webHidden/>
              </w:rPr>
            </w:r>
            <w:r>
              <w:rPr>
                <w:noProof/>
                <w:webHidden/>
              </w:rPr>
              <w:fldChar w:fldCharType="separate"/>
            </w:r>
            <w:r w:rsidR="00523C37">
              <w:rPr>
                <w:noProof/>
                <w:webHidden/>
              </w:rPr>
              <w:t>115</w:t>
            </w:r>
            <w:r>
              <w:rPr>
                <w:noProof/>
                <w:webHidden/>
              </w:rPr>
              <w:fldChar w:fldCharType="end"/>
            </w:r>
          </w:hyperlink>
        </w:p>
        <w:p w14:paraId="4816FDFA" w14:textId="12D15C48"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67" w:history="1">
            <w:r w:rsidRPr="00C525BB">
              <w:rPr>
                <w:rStyle w:val="Hyperlink"/>
                <w:noProof/>
              </w:rPr>
              <w:t>15.2 Normes et codes</w:t>
            </w:r>
            <w:r>
              <w:rPr>
                <w:noProof/>
                <w:webHidden/>
              </w:rPr>
              <w:tab/>
            </w:r>
            <w:r>
              <w:rPr>
                <w:noProof/>
                <w:webHidden/>
              </w:rPr>
              <w:fldChar w:fldCharType="begin"/>
            </w:r>
            <w:r>
              <w:rPr>
                <w:noProof/>
                <w:webHidden/>
              </w:rPr>
              <w:instrText xml:space="preserve"> PAGEREF _Toc219706267 \h </w:instrText>
            </w:r>
            <w:r>
              <w:rPr>
                <w:noProof/>
                <w:webHidden/>
              </w:rPr>
            </w:r>
            <w:r>
              <w:rPr>
                <w:noProof/>
                <w:webHidden/>
              </w:rPr>
              <w:fldChar w:fldCharType="separate"/>
            </w:r>
            <w:r w:rsidR="00523C37">
              <w:rPr>
                <w:noProof/>
                <w:webHidden/>
              </w:rPr>
              <w:t>115</w:t>
            </w:r>
            <w:r>
              <w:rPr>
                <w:noProof/>
                <w:webHidden/>
              </w:rPr>
              <w:fldChar w:fldCharType="end"/>
            </w:r>
          </w:hyperlink>
        </w:p>
        <w:p w14:paraId="351A2FB2" w14:textId="662D733A"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68" w:history="1">
            <w:r w:rsidRPr="00C525BB">
              <w:rPr>
                <w:rStyle w:val="Hyperlink"/>
                <w:noProof/>
              </w:rPr>
              <w:t>15.3 Ressources en ligne</w:t>
            </w:r>
            <w:r>
              <w:rPr>
                <w:noProof/>
                <w:webHidden/>
              </w:rPr>
              <w:tab/>
            </w:r>
            <w:r>
              <w:rPr>
                <w:noProof/>
                <w:webHidden/>
              </w:rPr>
              <w:fldChar w:fldCharType="begin"/>
            </w:r>
            <w:r>
              <w:rPr>
                <w:noProof/>
                <w:webHidden/>
              </w:rPr>
              <w:instrText xml:space="preserve"> PAGEREF _Toc219706268 \h </w:instrText>
            </w:r>
            <w:r>
              <w:rPr>
                <w:noProof/>
                <w:webHidden/>
              </w:rPr>
            </w:r>
            <w:r>
              <w:rPr>
                <w:noProof/>
                <w:webHidden/>
              </w:rPr>
              <w:fldChar w:fldCharType="separate"/>
            </w:r>
            <w:r w:rsidR="00523C37">
              <w:rPr>
                <w:noProof/>
                <w:webHidden/>
              </w:rPr>
              <w:t>117</w:t>
            </w:r>
            <w:r>
              <w:rPr>
                <w:noProof/>
                <w:webHidden/>
              </w:rPr>
              <w:fldChar w:fldCharType="end"/>
            </w:r>
          </w:hyperlink>
        </w:p>
        <w:p w14:paraId="48A48B44" w14:textId="15D6A9F2" w:rsidR="00C849C5" w:rsidRDefault="00C849C5">
          <w:pPr>
            <w:pStyle w:val="TOC2"/>
            <w:tabs>
              <w:tab w:val="right" w:leader="dot" w:pos="9350"/>
            </w:tabs>
            <w:rPr>
              <w:rFonts w:asciiTheme="minorHAnsi" w:eastAsiaTheme="minorEastAsia" w:hAnsiTheme="minorHAnsi"/>
              <w:noProof/>
              <w:sz w:val="24"/>
              <w:szCs w:val="24"/>
              <w:lang w:eastAsia="en-CA"/>
            </w:rPr>
          </w:pPr>
          <w:hyperlink w:anchor="_Toc219706269" w:history="1">
            <w:r w:rsidRPr="00C525BB">
              <w:rPr>
                <w:rStyle w:val="Hyperlink"/>
                <w:noProof/>
              </w:rPr>
              <w:t>15.4 Publications</w:t>
            </w:r>
            <w:r>
              <w:rPr>
                <w:noProof/>
                <w:webHidden/>
              </w:rPr>
              <w:tab/>
            </w:r>
            <w:r>
              <w:rPr>
                <w:noProof/>
                <w:webHidden/>
              </w:rPr>
              <w:fldChar w:fldCharType="begin"/>
            </w:r>
            <w:r>
              <w:rPr>
                <w:noProof/>
                <w:webHidden/>
              </w:rPr>
              <w:instrText xml:space="preserve"> PAGEREF _Toc219706269 \h </w:instrText>
            </w:r>
            <w:r>
              <w:rPr>
                <w:noProof/>
                <w:webHidden/>
              </w:rPr>
            </w:r>
            <w:r>
              <w:rPr>
                <w:noProof/>
                <w:webHidden/>
              </w:rPr>
              <w:fldChar w:fldCharType="separate"/>
            </w:r>
            <w:r w:rsidR="00523C37">
              <w:rPr>
                <w:noProof/>
                <w:webHidden/>
              </w:rPr>
              <w:t>119</w:t>
            </w:r>
            <w:r>
              <w:rPr>
                <w:noProof/>
                <w:webHidden/>
              </w:rPr>
              <w:fldChar w:fldCharType="end"/>
            </w:r>
          </w:hyperlink>
        </w:p>
        <w:p w14:paraId="33FAD7EB" w14:textId="5056CD43" w:rsidR="00C137A1" w:rsidRDefault="00931F27" w:rsidP="00D2724F">
          <w:r>
            <w:rPr>
              <w:b/>
              <w:bCs/>
              <w:noProof/>
            </w:rPr>
            <w:fldChar w:fldCharType="end"/>
          </w:r>
        </w:p>
      </w:sdtContent>
    </w:sdt>
    <w:bookmarkStart w:id="8" w:name="_Ref193207342" w:displacedByCustomXml="prev"/>
    <w:p w14:paraId="42E14664" w14:textId="77777777" w:rsidR="00FB0A05" w:rsidRDefault="00FB0A05">
      <w:pPr>
        <w:keepLines w:val="0"/>
        <w:spacing w:before="0" w:beforeAutospacing="0" w:line="259" w:lineRule="auto"/>
        <w:rPr>
          <w:b/>
        </w:rPr>
      </w:pPr>
      <w:bookmarkStart w:id="9" w:name="_Toc211607086"/>
      <w:bookmarkStart w:id="10" w:name="_Toc211607381"/>
      <w:bookmarkStart w:id="11" w:name="_Toc211607087"/>
      <w:bookmarkStart w:id="12" w:name="_Toc211607382"/>
      <w:bookmarkStart w:id="13" w:name="_Toc211607088"/>
      <w:bookmarkStart w:id="14" w:name="_Toc211607383"/>
      <w:bookmarkStart w:id="15" w:name="_Toc211607089"/>
      <w:bookmarkStart w:id="16" w:name="_Toc211607384"/>
      <w:bookmarkStart w:id="17" w:name="_Toc211607090"/>
      <w:bookmarkStart w:id="18" w:name="_Toc211607385"/>
      <w:bookmarkStart w:id="19" w:name="_Toc211607091"/>
      <w:bookmarkStart w:id="20" w:name="_Toc211607386"/>
      <w:bookmarkStart w:id="21" w:name="_Toc211607092"/>
      <w:bookmarkStart w:id="22" w:name="_Toc211607387"/>
      <w:bookmarkStart w:id="23" w:name="_Toc211607093"/>
      <w:bookmarkStart w:id="24" w:name="_Toc211607388"/>
      <w:bookmarkStart w:id="25" w:name="_Toc211607094"/>
      <w:bookmarkStart w:id="26" w:name="_Toc211607389"/>
      <w:bookmarkStart w:id="27" w:name="_Toc211607095"/>
      <w:bookmarkStart w:id="28" w:name="_Toc211607390"/>
      <w:bookmarkStart w:id="29" w:name="_Toc211607096"/>
      <w:bookmarkStart w:id="30" w:name="_Toc211607391"/>
      <w:bookmarkStart w:id="31" w:name="_Toc211607097"/>
      <w:bookmarkStart w:id="32" w:name="_Toc211607392"/>
      <w:bookmarkStart w:id="33" w:name="_Toc211607098"/>
      <w:bookmarkStart w:id="34" w:name="_Toc211607393"/>
      <w:bookmarkStart w:id="35" w:name="_Toc211607099"/>
      <w:bookmarkStart w:id="36" w:name="_Toc211607394"/>
      <w:bookmarkStart w:id="37" w:name="_Toc211607100"/>
      <w:bookmarkStart w:id="38" w:name="_Toc211607395"/>
      <w:bookmarkStart w:id="39" w:name="_Toc211607101"/>
      <w:bookmarkStart w:id="40" w:name="_Toc211607396"/>
      <w:bookmarkStart w:id="41" w:name="_Toc211607102"/>
      <w:bookmarkStart w:id="42" w:name="_Toc211607397"/>
      <w:bookmarkStart w:id="43" w:name="_Toc211607103"/>
      <w:bookmarkStart w:id="44" w:name="_Toc211607398"/>
      <w:bookmarkStart w:id="45" w:name="_Toc211607104"/>
      <w:bookmarkStart w:id="46" w:name="_Toc211607399"/>
      <w:bookmarkStart w:id="47" w:name="_Toc211607105"/>
      <w:bookmarkStart w:id="48" w:name="_Toc211607400"/>
      <w:bookmarkStart w:id="49" w:name="_Toc211607106"/>
      <w:bookmarkStart w:id="50" w:name="_Toc211607401"/>
      <w:bookmarkStart w:id="51" w:name="_Toc211607107"/>
      <w:bookmarkStart w:id="52" w:name="_Toc211607402"/>
      <w:bookmarkStart w:id="53" w:name="_Toc211607108"/>
      <w:bookmarkStart w:id="54" w:name="_Toc211607403"/>
      <w:bookmarkStart w:id="55" w:name="_Toc211607109"/>
      <w:bookmarkStart w:id="56" w:name="_Toc211607404"/>
      <w:bookmarkStart w:id="57" w:name="_Toc211607110"/>
      <w:bookmarkStart w:id="58" w:name="_Toc211607405"/>
      <w:bookmarkStart w:id="59" w:name="_Toc211607111"/>
      <w:bookmarkStart w:id="60" w:name="_Toc211607406"/>
      <w:bookmarkStart w:id="61" w:name="_Toc211607112"/>
      <w:bookmarkStart w:id="62" w:name="_Toc211607407"/>
      <w:bookmarkStart w:id="63" w:name="_Toc211607113"/>
      <w:bookmarkStart w:id="64" w:name="_Toc211607408"/>
      <w:bookmarkStart w:id="65" w:name="_Toc211607114"/>
      <w:bookmarkStart w:id="66" w:name="_Toc211607409"/>
      <w:bookmarkStart w:id="67" w:name="_Toc211607115"/>
      <w:bookmarkStart w:id="68" w:name="_Toc211607410"/>
      <w:bookmarkStart w:id="69" w:name="_Toc211607116"/>
      <w:bookmarkStart w:id="70" w:name="_Toc211607411"/>
      <w:bookmarkStart w:id="71" w:name="_Toc211607117"/>
      <w:bookmarkStart w:id="72" w:name="_Toc211607412"/>
      <w:bookmarkStart w:id="73" w:name="_Toc211607118"/>
      <w:bookmarkStart w:id="74" w:name="_Toc211607413"/>
      <w:bookmarkStart w:id="75" w:name="_Toc211607119"/>
      <w:bookmarkStart w:id="76" w:name="_Toc211607414"/>
      <w:bookmarkStart w:id="77" w:name="_Toc211607120"/>
      <w:bookmarkStart w:id="78" w:name="_Toc211607415"/>
      <w:bookmarkStart w:id="79" w:name="_Toc211607121"/>
      <w:bookmarkStart w:id="80" w:name="_Toc211607416"/>
      <w:bookmarkStart w:id="81" w:name="_Toc211607122"/>
      <w:bookmarkStart w:id="82" w:name="_Toc211607417"/>
      <w:bookmarkStart w:id="83" w:name="_Toc211607123"/>
      <w:bookmarkStart w:id="84" w:name="_Toc211607418"/>
      <w:bookmarkStart w:id="85" w:name="_Toc211607124"/>
      <w:bookmarkStart w:id="86" w:name="_Toc211607419"/>
      <w:bookmarkStart w:id="87" w:name="_Toc211607125"/>
      <w:bookmarkStart w:id="88" w:name="_Toc211607420"/>
      <w:bookmarkStart w:id="89" w:name="_Toc211607126"/>
      <w:bookmarkStart w:id="90" w:name="_Toc211607421"/>
      <w:bookmarkStart w:id="91" w:name="_Toc211607127"/>
      <w:bookmarkStart w:id="92" w:name="_Toc211607422"/>
      <w:bookmarkStart w:id="93" w:name="_Toc211607128"/>
      <w:bookmarkStart w:id="94" w:name="_Toc211607423"/>
      <w:bookmarkStart w:id="95" w:name="_Toc211607129"/>
      <w:bookmarkStart w:id="96" w:name="_Toc211607424"/>
      <w:bookmarkStart w:id="97" w:name="_Toc211607130"/>
      <w:bookmarkStart w:id="98" w:name="_Toc211607425"/>
      <w:bookmarkStart w:id="99" w:name="_Toc211607131"/>
      <w:bookmarkStart w:id="100" w:name="_Toc211607426"/>
      <w:bookmarkStart w:id="101" w:name="_Toc211607132"/>
      <w:bookmarkStart w:id="102" w:name="_Toc211607427"/>
      <w:bookmarkStart w:id="103" w:name="_Toc211607133"/>
      <w:bookmarkStart w:id="104" w:name="_Toc211607428"/>
      <w:bookmarkStart w:id="105" w:name="_Toc211607134"/>
      <w:bookmarkStart w:id="106" w:name="_Toc211607429"/>
      <w:bookmarkStart w:id="107" w:name="_Toc211607135"/>
      <w:bookmarkStart w:id="108" w:name="_Toc211607430"/>
      <w:bookmarkStart w:id="109" w:name="_Toc211607136"/>
      <w:bookmarkStart w:id="110" w:name="_Toc211607431"/>
      <w:bookmarkStart w:id="111" w:name="_Toc211607137"/>
      <w:bookmarkStart w:id="112" w:name="_Toc211607432"/>
      <w:bookmarkStart w:id="113" w:name="_Toc211607138"/>
      <w:bookmarkStart w:id="114" w:name="_Toc211607433"/>
      <w:bookmarkStart w:id="115" w:name="_Toc211607139"/>
      <w:bookmarkStart w:id="116" w:name="_Toc211607434"/>
      <w:bookmarkStart w:id="117" w:name="_Toc211607140"/>
      <w:bookmarkStart w:id="118" w:name="_Toc211607435"/>
      <w:bookmarkStart w:id="119" w:name="_Toc211607141"/>
      <w:bookmarkStart w:id="120" w:name="_Toc211607436"/>
      <w:bookmarkStart w:id="121" w:name="_Toc211607142"/>
      <w:bookmarkStart w:id="122" w:name="_Toc211607437"/>
      <w:bookmarkStart w:id="123" w:name="_Toc211607143"/>
      <w:bookmarkStart w:id="124" w:name="_Toc211607438"/>
      <w:bookmarkStart w:id="125" w:name="_Toc211607144"/>
      <w:bookmarkStart w:id="126" w:name="_Toc211607439"/>
      <w:bookmarkStart w:id="127" w:name="_Toc211607145"/>
      <w:bookmarkStart w:id="128" w:name="_Toc211607440"/>
      <w:bookmarkStart w:id="129" w:name="_Toc211607146"/>
      <w:bookmarkStart w:id="130" w:name="_Toc211607441"/>
      <w:bookmarkStart w:id="131" w:name="_Toc211607147"/>
      <w:bookmarkStart w:id="132" w:name="_Toc211607442"/>
      <w:bookmarkStart w:id="133" w:name="_Toc211607148"/>
      <w:bookmarkStart w:id="134" w:name="_Toc211607443"/>
      <w:bookmarkStart w:id="135" w:name="_Toc211607149"/>
      <w:bookmarkStart w:id="136" w:name="_Toc211607444"/>
      <w:bookmarkStart w:id="137" w:name="_Toc211607150"/>
      <w:bookmarkStart w:id="138" w:name="_Toc211607445"/>
      <w:bookmarkStart w:id="139" w:name="_Toc211607151"/>
      <w:bookmarkStart w:id="140" w:name="_Toc211607446"/>
      <w:bookmarkStart w:id="141" w:name="_Toc211607152"/>
      <w:bookmarkStart w:id="142" w:name="_Toc211607447"/>
      <w:bookmarkStart w:id="143" w:name="_Toc211607153"/>
      <w:bookmarkStart w:id="144" w:name="_Toc211607448"/>
      <w:bookmarkStart w:id="145" w:name="_Toc211607154"/>
      <w:bookmarkStart w:id="146" w:name="_Toc211607449"/>
      <w:bookmarkStart w:id="147" w:name="_Toc211607155"/>
      <w:bookmarkStart w:id="148" w:name="_Toc211607450"/>
      <w:bookmarkStart w:id="149" w:name="_Toc211607156"/>
      <w:bookmarkStart w:id="150" w:name="_Toc211607451"/>
      <w:bookmarkStart w:id="151" w:name="_Toc211607157"/>
      <w:bookmarkStart w:id="152" w:name="_Toc211607452"/>
      <w:bookmarkStart w:id="153" w:name="_Toc211607158"/>
      <w:bookmarkStart w:id="154" w:name="_Toc211607453"/>
      <w:bookmarkStart w:id="155" w:name="_Toc211607159"/>
      <w:bookmarkStart w:id="156" w:name="_Toc211607454"/>
      <w:bookmarkStart w:id="157" w:name="_Toc211607160"/>
      <w:bookmarkStart w:id="158" w:name="_Toc211607455"/>
      <w:bookmarkStart w:id="159" w:name="_Toc211607161"/>
      <w:bookmarkStart w:id="160" w:name="_Toc211607456"/>
      <w:bookmarkStart w:id="161" w:name="_Toc211607162"/>
      <w:bookmarkStart w:id="162" w:name="_Toc211607457"/>
      <w:bookmarkStart w:id="163" w:name="_Toc211607163"/>
      <w:bookmarkStart w:id="164" w:name="_Toc211607458"/>
      <w:bookmarkStart w:id="165" w:name="_Toc211607164"/>
      <w:bookmarkStart w:id="166" w:name="_Toc211607459"/>
      <w:bookmarkStart w:id="167" w:name="_Toc211607165"/>
      <w:bookmarkStart w:id="168" w:name="_Toc211607460"/>
      <w:bookmarkStart w:id="169" w:name="_Toc211607166"/>
      <w:bookmarkStart w:id="170" w:name="_Toc211607461"/>
      <w:bookmarkStart w:id="171" w:name="_Toc211607167"/>
      <w:bookmarkStart w:id="172" w:name="_Toc211607462"/>
      <w:bookmarkStart w:id="173" w:name="_Toc211607168"/>
      <w:bookmarkStart w:id="174" w:name="_Toc211607463"/>
      <w:bookmarkStart w:id="175" w:name="_Toc211607169"/>
      <w:bookmarkStart w:id="176" w:name="_Toc211607464"/>
      <w:bookmarkStart w:id="177" w:name="_Toc211607170"/>
      <w:bookmarkStart w:id="178" w:name="_Toc211607465"/>
      <w:bookmarkStart w:id="179" w:name="_Toc211607171"/>
      <w:bookmarkStart w:id="180" w:name="_Toc211607466"/>
      <w:bookmarkStart w:id="181" w:name="_Toc211607172"/>
      <w:bookmarkStart w:id="182" w:name="_Toc211607467"/>
      <w:bookmarkStart w:id="183" w:name="_Toc211607173"/>
      <w:bookmarkStart w:id="184" w:name="_Toc211607468"/>
      <w:bookmarkStart w:id="185" w:name="_Toc211607174"/>
      <w:bookmarkStart w:id="186" w:name="_Toc211607469"/>
      <w:bookmarkStart w:id="187" w:name="_Toc211607175"/>
      <w:bookmarkStart w:id="188" w:name="_Toc211607470"/>
      <w:bookmarkStart w:id="189" w:name="_Toc211607176"/>
      <w:bookmarkStart w:id="190" w:name="_Toc211607471"/>
      <w:bookmarkStart w:id="191" w:name="_Toc211607177"/>
      <w:bookmarkStart w:id="192" w:name="_Toc211607472"/>
      <w:bookmarkStart w:id="193" w:name="_Toc211607178"/>
      <w:bookmarkStart w:id="194" w:name="_Toc211607473"/>
      <w:bookmarkStart w:id="195" w:name="_Toc211607179"/>
      <w:bookmarkStart w:id="196" w:name="_Toc211607474"/>
      <w:bookmarkStart w:id="197" w:name="_Toc211607180"/>
      <w:bookmarkStart w:id="198" w:name="_Toc211607475"/>
      <w:bookmarkStart w:id="199" w:name="_Toc211607181"/>
      <w:bookmarkStart w:id="200" w:name="_Toc211607476"/>
      <w:bookmarkStart w:id="201" w:name="_Toc211607182"/>
      <w:bookmarkStart w:id="202" w:name="_Toc211607477"/>
      <w:bookmarkStart w:id="203" w:name="_Toc211607183"/>
      <w:bookmarkStart w:id="204" w:name="_Toc211607478"/>
      <w:bookmarkStart w:id="205" w:name="_Toc211607184"/>
      <w:bookmarkStart w:id="206" w:name="_Toc211607479"/>
      <w:bookmarkStart w:id="207" w:name="_Toc211607185"/>
      <w:bookmarkStart w:id="208" w:name="_Toc211607480"/>
      <w:bookmarkStart w:id="209" w:name="_Toc211607186"/>
      <w:bookmarkStart w:id="210" w:name="_Toc211607481"/>
      <w:bookmarkStart w:id="211" w:name="_Toc211607187"/>
      <w:bookmarkStart w:id="212" w:name="_Toc211607482"/>
      <w:bookmarkStart w:id="213" w:name="_Toc211607188"/>
      <w:bookmarkStart w:id="214" w:name="_Toc211607483"/>
      <w:bookmarkStart w:id="215" w:name="_Toc211607189"/>
      <w:bookmarkStart w:id="216" w:name="_Toc211607484"/>
      <w:bookmarkStart w:id="217" w:name="_Toc211607190"/>
      <w:bookmarkStart w:id="218" w:name="_Toc211607485"/>
      <w:bookmarkStart w:id="219" w:name="_Toc211607191"/>
      <w:bookmarkStart w:id="220" w:name="_Toc21160748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br w:type="page"/>
      </w:r>
      <w:bookmarkStart w:id="221" w:name="_Toc211607487"/>
      <w:bookmarkStart w:id="222" w:name="_Toc211607192"/>
      <w:bookmarkStart w:id="223" w:name="_Hlk190698858"/>
      <w:bookmarkEnd w:id="221"/>
      <w:bookmarkEnd w:id="222"/>
    </w:p>
    <w:bookmarkStart w:id="224" w:name="_Toc219706163" w:displacedByCustomXml="next"/>
    <w:sdt>
      <w:sdtPr>
        <w:rPr>
          <w:rFonts w:eastAsiaTheme="minorEastAsia" w:cstheme="minorBidi"/>
          <w:b w:val="0"/>
          <w:sz w:val="28"/>
          <w:szCs w:val="28"/>
        </w:rPr>
        <w:id w:val="-203259929"/>
        <w:lock w:val="sdtContentLocked"/>
        <w:placeholder>
          <w:docPart w:val="DefaultPlaceholder_-1854013440"/>
        </w:placeholder>
        <w15:appearance w15:val="hidden"/>
      </w:sdtPr>
      <w:sdtContent>
        <w:p w14:paraId="483F4BA1" w14:textId="52AC9D91" w:rsidR="00A57039" w:rsidRPr="00BA7B68" w:rsidRDefault="00A57039" w:rsidP="00F67684">
          <w:pPr>
            <w:pStyle w:val="Heading1"/>
            <w:ind w:left="426" w:hanging="426"/>
            <w:rPr>
              <w:lang w:val="fr-CA"/>
            </w:rPr>
          </w:pPr>
          <w:r w:rsidRPr="00BA7B68">
            <w:rPr>
              <w:lang w:val="fr-CA"/>
            </w:rPr>
            <w:t>À propos de Normes d’accessibilité Canada</w:t>
          </w:r>
          <w:bookmarkEnd w:id="224"/>
        </w:p>
        <w:p w14:paraId="3F453C66" w14:textId="73C7D8A8" w:rsidR="00A57039" w:rsidRPr="00BA7B68" w:rsidRDefault="00A57039" w:rsidP="00A57039">
          <w:pPr>
            <w:rPr>
              <w:lang w:val="fr-CA"/>
            </w:rPr>
          </w:pPr>
          <w:r w:rsidRPr="00BA7B68">
            <w:rPr>
              <w:lang w:val="fr-CA"/>
            </w:rPr>
            <w:t xml:space="preserve">Normes d’accessibilité Canada, sous les auspices duquel la présente norme a été produite, est un établissement public du gouvernement du Canada mandaté conformément à la </w:t>
          </w:r>
          <w:r w:rsidRPr="00430735">
            <w:rPr>
              <w:rStyle w:val="TitleOfWork"/>
              <w:lang w:val="fr-CA"/>
            </w:rPr>
            <w:t>Loi canadienne sur l’accessibilité</w:t>
          </w:r>
          <w:r w:rsidRPr="00BA7B68">
            <w:rPr>
              <w:lang w:val="fr-CA"/>
            </w:rPr>
            <w:t xml:space="preserve">. Les normes de Normes d’accessibilité Canada contribuent à l’objectif de la </w:t>
          </w:r>
          <w:r w:rsidRPr="00B60E51">
            <w:rPr>
              <w:rStyle w:val="TitleOfWork"/>
              <w:lang w:val="fr-CA"/>
            </w:rPr>
            <w:t>Loi canadienne sur l’accessibilité</w:t>
          </w:r>
          <w:r w:rsidRPr="00BA7B68">
            <w:rPr>
              <w:lang w:val="fr-CA"/>
            </w:rPr>
            <w:t>, qui est de profiter à toutes les personnes, en particulier aux personnes en situation de handicap, par la réalisation d’un Canada sans obstacle grâce à la détermination, à l’élimination et à la prévention des obstacles à l’accessibilité.</w:t>
          </w:r>
        </w:p>
        <w:p w14:paraId="5E2AF7E2" w14:textId="77777777" w:rsidR="00A57039" w:rsidRPr="00BA7B68" w:rsidRDefault="00A57039" w:rsidP="00A57039">
          <w:pPr>
            <w:rPr>
              <w:lang w:val="fr-CA"/>
            </w:rPr>
          </w:pPr>
          <w:r w:rsidRPr="00BA7B68">
            <w:rPr>
              <w:lang w:val="fr-CA"/>
            </w:rPr>
            <w:t xml:space="preserve">Le terme handicap désigne, au sens de la </w:t>
          </w:r>
          <w:r w:rsidRPr="00BA7B68">
            <w:rPr>
              <w:rStyle w:val="TitleOfWork"/>
              <w:lang w:val="fr-CA"/>
            </w:rPr>
            <w:t>Loi canadienne sur l’accessibilité</w:t>
          </w:r>
          <w:r w:rsidRPr="00BA7B68">
            <w:rPr>
              <w:lang w:val="fr-CA"/>
            </w:rPr>
            <w:t>, toute déficience notamment physique, intellectuelle, cognitive, mentale ou sensorielle, trouble d’apprentissage ou de la communication ou limitation fonctionnelle, de nature permanente, temporaire ou épisodique, manifeste ou non et dont l’interaction avec un obstacle nuit à la participation pleine et égale d’une personne dans la société.</w:t>
          </w:r>
        </w:p>
        <w:p w14:paraId="31748958" w14:textId="77777777" w:rsidR="00A57039" w:rsidRPr="005C3A27" w:rsidRDefault="00A57039" w:rsidP="00A57039">
          <w:pPr>
            <w:rPr>
              <w:lang w:val="fr-CA"/>
            </w:rPr>
          </w:pPr>
          <w:r w:rsidRPr="00BA7B68">
            <w:rPr>
              <w:lang w:val="fr-CA"/>
            </w:rPr>
            <w:t xml:space="preserve">Tous les travaux d’élaboration de normes de Normes d’accessibilité Canada, y compris le travail de nos comités techniques, reposent sur la reconnaissance des principes suivants de la </w:t>
          </w:r>
          <w:r w:rsidRPr="00B60E51">
            <w:rPr>
              <w:rStyle w:val="TitleOfWork"/>
              <w:lang w:val="fr-CA"/>
            </w:rPr>
            <w:t>Loi canadienne sur l’accessibilité </w:t>
          </w:r>
          <w:r w:rsidRPr="005C3A27">
            <w:rPr>
              <w:lang w:val="fr-CA"/>
            </w:rPr>
            <w:t>:</w:t>
          </w:r>
        </w:p>
        <w:p w14:paraId="5EC5D28D" w14:textId="77777777" w:rsidR="00A57039" w:rsidRPr="005C3A27" w:rsidRDefault="00A57039" w:rsidP="00A57039">
          <w:pPr>
            <w:numPr>
              <w:ilvl w:val="0"/>
              <w:numId w:val="6"/>
            </w:numPr>
            <w:rPr>
              <w:lang w:val="fr-CA"/>
            </w:rPr>
          </w:pPr>
          <w:r w:rsidRPr="005C3A27">
            <w:rPr>
              <w:lang w:val="fr-CA"/>
            </w:rPr>
            <w:t>le droit de toute personne à être traitée avec dignité, quels que soient ses handicaps;</w:t>
          </w:r>
        </w:p>
        <w:p w14:paraId="662B6667" w14:textId="77777777" w:rsidR="00A57039" w:rsidRPr="005C3A27" w:rsidRDefault="00A57039" w:rsidP="00A57039">
          <w:pPr>
            <w:numPr>
              <w:ilvl w:val="0"/>
              <w:numId w:val="6"/>
            </w:numPr>
            <w:rPr>
              <w:lang w:val="fr-CA"/>
            </w:rPr>
          </w:pPr>
          <w:r w:rsidRPr="005C3A27">
            <w:rPr>
              <w:lang w:val="fr-CA"/>
            </w:rPr>
            <w:t>le droit de toute personne à l’égalité des chances d’épanouissement, quels que soient ses handicaps;</w:t>
          </w:r>
        </w:p>
        <w:p w14:paraId="2A046EF0" w14:textId="77777777" w:rsidR="00A57039" w:rsidRPr="005C3A27" w:rsidRDefault="00A57039" w:rsidP="00A57039">
          <w:pPr>
            <w:numPr>
              <w:ilvl w:val="0"/>
              <w:numId w:val="6"/>
            </w:numPr>
            <w:rPr>
              <w:lang w:val="fr-CA"/>
            </w:rPr>
          </w:pPr>
          <w:r w:rsidRPr="005C3A27">
            <w:rPr>
              <w:lang w:val="fr-CA"/>
            </w:rPr>
            <w:t>le droit de toute personne à un accès exempt d’obstacles et à une participation pleine et égale dans la société, quels que soient ses handicaps;</w:t>
          </w:r>
        </w:p>
        <w:p w14:paraId="0720A7C9" w14:textId="77777777" w:rsidR="00A57039" w:rsidRPr="005C3A27" w:rsidRDefault="00A57039" w:rsidP="00A57039">
          <w:pPr>
            <w:numPr>
              <w:ilvl w:val="0"/>
              <w:numId w:val="6"/>
            </w:numPr>
            <w:rPr>
              <w:lang w:val="fr-CA"/>
            </w:rPr>
          </w:pPr>
          <w:r w:rsidRPr="005C3A27">
            <w:rPr>
              <w:lang w:val="fr-CA"/>
            </w:rPr>
            <w:lastRenderedPageBreak/>
            <w:t>le droit de toute personne d’avoir concrètement la possibilité de prendre des décisions pour elle-même, avec ou sans aide, quels que soient ses handicaps;</w:t>
          </w:r>
        </w:p>
        <w:p w14:paraId="0AD17F26" w14:textId="77777777" w:rsidR="00A57039" w:rsidRPr="005C3A27" w:rsidRDefault="00A57039" w:rsidP="00A57039">
          <w:pPr>
            <w:numPr>
              <w:ilvl w:val="0"/>
              <w:numId w:val="6"/>
            </w:numPr>
            <w:rPr>
              <w:lang w:val="fr-CA"/>
            </w:rPr>
          </w:pPr>
          <w:r w:rsidRPr="005C3A27">
            <w:rPr>
              <w:lang w:val="fr-CA"/>
            </w:rPr>
            <w:t>le fait que les lois, politiques, programmes, services et structures doivent tenir compte des handicaps des personnes, des différentes façons dont elles interagissent au sein de leurs environnements ainsi que des formes multiples et intersectionnelles de discrimination et de marginalisation vécues par celles-ci;</w:t>
          </w:r>
        </w:p>
        <w:p w14:paraId="22077FF7" w14:textId="5985689F" w:rsidR="00A57039" w:rsidRPr="005C3A27" w:rsidRDefault="00A57039" w:rsidP="00A57039">
          <w:pPr>
            <w:numPr>
              <w:ilvl w:val="0"/>
              <w:numId w:val="6"/>
            </w:numPr>
            <w:rPr>
              <w:lang w:val="fr-CA"/>
            </w:rPr>
          </w:pPr>
          <w:r w:rsidRPr="005C3A27">
            <w:rPr>
              <w:lang w:val="fr-CA"/>
            </w:rPr>
            <w:t>le fait que les personnes en situation de handicap doivent participer à l’élaboration et à la conception des lois, des politiques, des programmes, des services et des structures;</w:t>
          </w:r>
          <w:r w:rsidR="000E1956">
            <w:rPr>
              <w:lang w:val="fr-CA"/>
            </w:rPr>
            <w:t xml:space="preserve"> et</w:t>
          </w:r>
        </w:p>
        <w:p w14:paraId="14C4F230" w14:textId="77777777" w:rsidR="00A57039" w:rsidRPr="005C3A27" w:rsidRDefault="00A57039" w:rsidP="00A57039">
          <w:pPr>
            <w:numPr>
              <w:ilvl w:val="0"/>
              <w:numId w:val="6"/>
            </w:numPr>
            <w:rPr>
              <w:lang w:val="fr-CA"/>
            </w:rPr>
          </w:pPr>
          <w:r w:rsidRPr="005C3A27">
            <w:rPr>
              <w:lang w:val="fr-CA"/>
            </w:rPr>
            <w:t>l’élaboration et la révision de normes d’accessibilité et la prise de règlements doivent être faites dans l’objectif d’atteindre le niveau d’accessibilité le plus élevé qui soit pour les personnes en situation de handicap.</w:t>
          </w:r>
        </w:p>
        <w:p w14:paraId="628BCB8A" w14:textId="6946F00F" w:rsidR="00A57039" w:rsidRPr="00E41C74" w:rsidRDefault="00A57039" w:rsidP="00A57039">
          <w:pPr>
            <w:rPr>
              <w:lang w:val="fr-CA"/>
            </w:rPr>
          </w:pPr>
          <w:r w:rsidRPr="005C3A27">
            <w:rPr>
              <w:lang w:val="fr-CA"/>
            </w:rPr>
            <w:t xml:space="preserve">Ces principes cadrent avec ceux de la </w:t>
          </w:r>
          <w:r w:rsidRPr="00E41C74">
            <w:rPr>
              <w:rStyle w:val="TitleOfWork"/>
              <w:lang w:val="fr-CA"/>
            </w:rPr>
            <w:t>Convention relative aux droits des personnes handicapées</w:t>
          </w:r>
          <w:r w:rsidR="00180C95">
            <w:rPr>
              <w:rStyle w:val="TitleOfWork"/>
              <w:lang w:val="fr-CA"/>
            </w:rPr>
            <w:t xml:space="preserve"> </w:t>
          </w:r>
          <w:r w:rsidR="00180C95">
            <w:rPr>
              <w:rStyle w:val="TitleOfWork"/>
              <w:i w:val="0"/>
              <w:iCs w:val="0"/>
              <w:lang w:val="fr-CA"/>
            </w:rPr>
            <w:t>des Nations Unies</w:t>
          </w:r>
          <w:r w:rsidRPr="00E41C74">
            <w:rPr>
              <w:lang w:val="fr-CA"/>
            </w:rPr>
            <w:t>, ratifiée par le gouvernement du Canada en 2010 pour reconnaître l’importance de promouvoir, de protéger et de faire respecter les droits fondamentaux des personnes en situation de handicap à participer pleinement à la vie de leur collectivité.</w:t>
          </w:r>
          <w:r w:rsidR="005357C0" w:rsidRPr="005357C0">
            <w:rPr>
              <w:lang w:val="fr-CA"/>
            </w:rPr>
            <w:t xml:space="preserve"> Les normes élaborées par Normes d’accessibilité Canada s’harmonisent avec les articles de la Convention.</w:t>
          </w:r>
        </w:p>
        <w:p w14:paraId="280C5E80" w14:textId="77777777" w:rsidR="00A57039" w:rsidRPr="00E41C74" w:rsidRDefault="00A57039" w:rsidP="00A57039">
          <w:pPr>
            <w:rPr>
              <w:lang w:val="fr-CA"/>
            </w:rPr>
          </w:pPr>
          <w:r w:rsidRPr="00E41C74">
            <w:rPr>
              <w:lang w:val="fr-CA"/>
            </w:rPr>
            <w:t>Normes d’accessibilité Canada cherche à créer des normes qui sont conformes à sa vision. Ce travail comprend des engagements à éliminer les obstacles à l’accessibilité et à respecter le principe « Rien sans nous » dans notre processus d’élaboration de normes, où tout le monde, y compris les personnes en situation de handicap, peut s’attendre à un Canada exempt d’obstacles.</w:t>
          </w:r>
        </w:p>
        <w:p w14:paraId="6B02FD0B" w14:textId="77777777" w:rsidR="00A57039" w:rsidRPr="00E41C74" w:rsidRDefault="00A57039" w:rsidP="00A57039">
          <w:pPr>
            <w:rPr>
              <w:lang w:val="fr-CA"/>
            </w:rPr>
          </w:pPr>
          <w:r w:rsidRPr="00E41C74">
            <w:rPr>
              <w:lang w:val="fr-CA"/>
            </w:rPr>
            <w:lastRenderedPageBreak/>
            <w:t xml:space="preserve">Dans le cadre du principe « Rien sans nous », Normes d’accessibilité Canada soutient que l’accessibilité nous concerne tous, car elle peut avoir des effets bénéfiques sur l’ensemble de la société. Par conséquent, les normes élaborées par Normes d’accessibilité Canada sont conçues pour atteindre les plus hauts niveaux d’accessibilité. Cela signifie que ces normes établissent des exigences techniques fondées sur l’équité tout en tenant compte des pratiques exemplaires nationales et internationales, plutôt que de se concentrer sur des exigences techniques minimales. </w:t>
          </w:r>
        </w:p>
        <w:p w14:paraId="6CB28634" w14:textId="77777777" w:rsidR="00A57039" w:rsidRPr="00E41C74" w:rsidRDefault="00A57039" w:rsidP="00A57039">
          <w:pPr>
            <w:rPr>
              <w:lang w:val="fr-CA"/>
            </w:rPr>
          </w:pPr>
          <w:r w:rsidRPr="00E41C74">
            <w:rPr>
              <w:lang w:val="fr-CA"/>
            </w:rPr>
            <w:t xml:space="preserve">Cette façon de faire vise à encourager l’innovation en matière de normes et à élaborer des exigences techniques ayant des effets positifs à grande échelle. Cette approche en matière d’innovation vise à améliorer les résultats pour tous les Canadiens, notamment en créant des possibilités d’emploi et des solutions qui contribuent à la croissance économique du Canada. </w:t>
          </w:r>
        </w:p>
        <w:p w14:paraId="17D378CC" w14:textId="77777777" w:rsidR="00A57039" w:rsidRPr="00E41C74" w:rsidRDefault="00A57039" w:rsidP="00A57039">
          <w:pPr>
            <w:rPr>
              <w:lang w:val="fr-CA"/>
            </w:rPr>
          </w:pPr>
          <w:r w:rsidRPr="00E41C74">
            <w:rPr>
              <w:lang w:val="fr-CA"/>
            </w:rPr>
            <w:t>Le processus d’élaboration de normes utilisé par Normes d’accessibilité Canada est le plus accessible au Canada, voire au monde. Normes d’accessibilité Canada offre des mesures d’adaptation pour répondre aux besoins des membres des comités techniques qui ont un handicap. Normes d’accessibilité Canada offre une rémunération aux personnes en situation de handicap afin de favoriser leur participation active. Normes d’accessibilité Canada assure un processus d’examen public accessible, notamment grâce à des formulaires d’autorisation accessibles et à la publication de la norme dans plusieurs formats, afin d’encourager les Canadiens en situation de handicap à formuler des commentaires. Afin d’assurer une accessibilité optimale pour tous, nos normes sont disponibles gratuitement sur notre site Web. Les normes peuvent être consultées dans divers formats, y compris des résumés en langage clair, en American Sign language (ASL) et en langue des signes québécoise (LSQ). Cela permet aux groupes suivants de profiter du contenu technique de nos normes :</w:t>
          </w:r>
        </w:p>
        <w:p w14:paraId="26CDDFFC" w14:textId="77777777" w:rsidR="00A57039" w:rsidRPr="00E41C74" w:rsidRDefault="00A57039" w:rsidP="003F66F0">
          <w:pPr>
            <w:pStyle w:val="ListParagraph"/>
            <w:numPr>
              <w:ilvl w:val="0"/>
              <w:numId w:val="76"/>
            </w:numPr>
            <w:rPr>
              <w:lang w:val="fr-CA"/>
            </w:rPr>
          </w:pPr>
          <w:r w:rsidRPr="00E41C74">
            <w:rPr>
              <w:lang w:val="fr-CA"/>
            </w:rPr>
            <w:t>les personnes en situation de handicap;</w:t>
          </w:r>
        </w:p>
        <w:p w14:paraId="43169107" w14:textId="77777777" w:rsidR="00A57039" w:rsidRPr="00E41C74" w:rsidRDefault="00A57039" w:rsidP="003F66F0">
          <w:pPr>
            <w:pStyle w:val="ListParagraph"/>
            <w:numPr>
              <w:ilvl w:val="0"/>
              <w:numId w:val="76"/>
            </w:numPr>
            <w:rPr>
              <w:lang w:val="fr-CA"/>
            </w:rPr>
          </w:pPr>
          <w:r w:rsidRPr="00E41C74">
            <w:rPr>
              <w:lang w:val="fr-CA"/>
            </w:rPr>
            <w:lastRenderedPageBreak/>
            <w:t>les personnes sans handicap;</w:t>
          </w:r>
        </w:p>
        <w:p w14:paraId="53C68226" w14:textId="77777777" w:rsidR="00A57039" w:rsidRPr="00E41C74" w:rsidRDefault="00A57039" w:rsidP="003F66F0">
          <w:pPr>
            <w:pStyle w:val="ListParagraph"/>
            <w:numPr>
              <w:ilvl w:val="0"/>
              <w:numId w:val="76"/>
            </w:numPr>
            <w:rPr>
              <w:lang w:val="fr-CA"/>
            </w:rPr>
          </w:pPr>
          <w:r w:rsidRPr="00E41C74">
            <w:rPr>
              <w:lang w:val="fr-CA"/>
            </w:rPr>
            <w:t>le secteur public fédéral;</w:t>
          </w:r>
        </w:p>
        <w:p w14:paraId="017BC606" w14:textId="77777777" w:rsidR="00A57039" w:rsidRPr="00E41C74" w:rsidRDefault="00A57039" w:rsidP="003F66F0">
          <w:pPr>
            <w:pStyle w:val="ListParagraph"/>
            <w:numPr>
              <w:ilvl w:val="0"/>
              <w:numId w:val="76"/>
            </w:numPr>
            <w:rPr>
              <w:lang w:val="fr-CA"/>
            </w:rPr>
          </w:pPr>
          <w:r w:rsidRPr="00E41C74">
            <w:rPr>
              <w:lang w:val="fr-CA"/>
            </w:rPr>
            <w:t>le secteur privé;</w:t>
          </w:r>
        </w:p>
        <w:p w14:paraId="04687BF8" w14:textId="77777777" w:rsidR="00A57039" w:rsidRPr="00E41C74" w:rsidRDefault="00A57039" w:rsidP="003F66F0">
          <w:pPr>
            <w:pStyle w:val="ListParagraph"/>
            <w:numPr>
              <w:ilvl w:val="0"/>
              <w:numId w:val="76"/>
            </w:numPr>
            <w:rPr>
              <w:lang w:val="fr-CA"/>
            </w:rPr>
          </w:pPr>
          <w:r w:rsidRPr="00E41C74">
            <w:rPr>
              <w:lang w:val="fr-CA"/>
            </w:rPr>
            <w:t>les organisations non gouvernementales;</w:t>
          </w:r>
        </w:p>
        <w:p w14:paraId="37689DE1" w14:textId="77777777" w:rsidR="00A57039" w:rsidRPr="00E41C74" w:rsidRDefault="00A57039" w:rsidP="003F66F0">
          <w:pPr>
            <w:pStyle w:val="ListParagraph"/>
            <w:numPr>
              <w:ilvl w:val="0"/>
              <w:numId w:val="76"/>
            </w:numPr>
            <w:rPr>
              <w:lang w:val="fr-CA"/>
            </w:rPr>
          </w:pPr>
          <w:r w:rsidRPr="00E41C74">
            <w:rPr>
              <w:lang w:val="fr-CA"/>
            </w:rPr>
            <w:t>les communautés autochtones; et</w:t>
          </w:r>
        </w:p>
        <w:p w14:paraId="437D9C55" w14:textId="77777777" w:rsidR="00A57039" w:rsidRPr="00E41C74" w:rsidRDefault="00A57039" w:rsidP="003F66F0">
          <w:pPr>
            <w:pStyle w:val="ListParagraph"/>
            <w:numPr>
              <w:ilvl w:val="0"/>
              <w:numId w:val="76"/>
            </w:numPr>
            <w:rPr>
              <w:lang w:val="fr-CA"/>
            </w:rPr>
          </w:pPr>
          <w:r w:rsidRPr="00E41C74">
            <w:rPr>
              <w:lang w:val="fr-CA"/>
            </w:rPr>
            <w:t>la société.</w:t>
          </w:r>
        </w:p>
        <w:p w14:paraId="7713071F" w14:textId="77777777" w:rsidR="008D6ECE" w:rsidRDefault="00A57039" w:rsidP="00DA0A7F">
          <w:pPr>
            <w:keepLines w:val="0"/>
            <w:widowControl w:val="0"/>
            <w:spacing w:line="240" w:lineRule="auto"/>
            <w:rPr>
              <w:lang w:val="fr-CA"/>
            </w:rPr>
          </w:pPr>
          <w:r w:rsidRPr="00E41C74">
            <w:rPr>
              <w:lang w:val="fr-CA"/>
            </w:rPr>
            <w:t>Normes d’accessibilité Canada applique un cadre intersectionnel pour tenir compte des expériences des personnes en situation de handicap qui s’identifient également comme 2ELGBTQ+, Autochtones, femmes ou minorités visibles. Son processus d’élaboration de normes exige que les comités techniques appliquent une perspective tenant compte de tous les handicaps pour s’assurer qu’aucun nouvel obstacle à l’accessibilité n’est créé involontairement. De plus, les normes élaborées par Normes d’accessibilité Canada cadrent avec 14 des 17 objectifs de développement durable des Nations unies, qui ont été adoptés par le Canada en 2015 pour promouvoir le partenariat, la paix et la prospérité pour tous les peuples et la planète d’ici 2030.</w:t>
          </w:r>
        </w:p>
        <w:p w14:paraId="5F9166D9" w14:textId="66376B0F" w:rsidR="00A57039" w:rsidRPr="008D6ECE" w:rsidRDefault="00A57039" w:rsidP="00DA0A7F">
          <w:pPr>
            <w:keepLines w:val="0"/>
            <w:widowControl w:val="0"/>
            <w:spacing w:line="240" w:lineRule="auto"/>
            <w:rPr>
              <w:lang w:val="fr-CA"/>
            </w:rPr>
          </w:pPr>
          <w:r w:rsidRPr="008D6ECE">
            <w:rPr>
              <w:lang w:val="fr-CA"/>
            </w:rPr>
            <w:t>Normes d’accessibilité Canada participe à la préparation de normes d’accessibilité volontaires qui sont élaborées par des comités techniques sur la base d’une approche consensuelle. Chaque comité technique est composé d’un groupe équilibré d’experts qui élabore le contenu technique d’une norme. Au moins 30 % de ces experts techniques sont des personnes en situation de handicap et ayant une expérience vécue, et 30 % sont issus de groupes en quête d’équité, y compris la communauté 2ELGBTQ+, les Autochtones, les femmes et les minorités visibles. Ces experts techniques comprennent également des consommateurs et d’autres utilisateurs, des représentants du gouvernement et des autorités, des travailleurs et des syndicats, d’autres organismes d’élaboration de normes, des entreprises et des industries, des organismes universitaires et de recherche, ainsi que des organisations non gouvernementales.</w:t>
          </w:r>
        </w:p>
        <w:p w14:paraId="33F29E4D" w14:textId="77777777" w:rsidR="00A57039" w:rsidRPr="008D6ECE" w:rsidRDefault="00A57039" w:rsidP="00A57039">
          <w:pPr>
            <w:rPr>
              <w:lang w:val="fr-CA"/>
            </w:rPr>
          </w:pPr>
          <w:r w:rsidRPr="008D6ECE">
            <w:rPr>
              <w:lang w:val="fr-CA"/>
            </w:rPr>
            <w:lastRenderedPageBreak/>
            <w:t>Toutes les normes de Normes d’accessibilité Canada intègrent également des constatations connexes tirées de rapports de recherche produits dans le cadre du programme de subventions et de contributions pour l’avancement de l’accessibilité de Normes d’accessibilité Canada. Ce programme fait intervenir des personnes en situation de handicap, des experts et des organisations pour faire progresser la recherche sur les normes d’accessibilité et soutient des projets de recherche qui aident à repérer, à éliminer et à prévenir les nouveaux obstacles à l’accessibilité.</w:t>
          </w:r>
        </w:p>
        <w:p w14:paraId="7DAFC370" w14:textId="5F7B9845" w:rsidR="00A57039" w:rsidRPr="008D6ECE" w:rsidRDefault="00A57039" w:rsidP="00A57039">
          <w:pPr>
            <w:rPr>
              <w:lang w:val="fr-CA"/>
            </w:rPr>
          </w:pPr>
          <w:r w:rsidRPr="008D6ECE">
            <w:rPr>
              <w:lang w:val="fr-CA"/>
            </w:rPr>
            <w:t xml:space="preserve">Les normes de Normes d’accessibilité Canada peuvent faire l’objet d’un examen et d’une révision pour s’assurer qu’elles tiennent compte des tendances actuelles et des pratiques exemplaires. Normes d’accessibilité Canada </w:t>
          </w:r>
          <w:r w:rsidR="00D04F63">
            <w:rPr>
              <w:lang w:val="fr-CA"/>
            </w:rPr>
            <w:t>entreprendra</w:t>
          </w:r>
          <w:r w:rsidR="00EC071C">
            <w:rPr>
              <w:lang w:val="fr-CA"/>
            </w:rPr>
            <w:t xml:space="preserve"> l’</w:t>
          </w:r>
          <w:r w:rsidRPr="008D6ECE">
            <w:rPr>
              <w:lang w:val="fr-CA"/>
            </w:rPr>
            <w:t>examen de</w:t>
          </w:r>
          <w:r w:rsidR="00EC071C">
            <w:rPr>
              <w:lang w:val="fr-CA"/>
            </w:rPr>
            <w:t xml:space="preserve"> la </w:t>
          </w:r>
          <w:r w:rsidR="00304508">
            <w:rPr>
              <w:lang w:val="fr-CA"/>
            </w:rPr>
            <w:t>présente</w:t>
          </w:r>
          <w:r w:rsidR="00EC071C">
            <w:rPr>
              <w:lang w:val="fr-CA"/>
            </w:rPr>
            <w:t xml:space="preserve"> norme dans les quatre ans suivant la date de publication. </w:t>
          </w:r>
          <w:r w:rsidRPr="008D6ECE">
            <w:rPr>
              <w:lang w:val="fr-CA"/>
            </w:rPr>
            <w:t>Les suggestions d’amélioration, qui sont toujours les bienvenues, devraient être portées à l’attention du comité technique concerné. Les modifications aux normes sont publiées sous forme de modifications distinctes ou dans de nouvelles éditions des normes.</w:t>
          </w:r>
        </w:p>
        <w:p w14:paraId="5AE9AD3A" w14:textId="4DD9CA76" w:rsidR="00A57039" w:rsidRPr="00B23FE5" w:rsidRDefault="00A57039" w:rsidP="00A57039">
          <w:pPr>
            <w:rPr>
              <w:lang w:val="fr-CA"/>
            </w:rPr>
          </w:pPr>
          <w:r w:rsidRPr="008D6ECE">
            <w:rPr>
              <w:lang w:val="fr-CA"/>
            </w:rPr>
            <w:t xml:space="preserve">Normes d’accessibilité Canada est un organisme d’élaboration de normes accrédité par le Conseil canadien des normes et élabore donc toutes ses normes en suivant un processus d’élaboration de normes accrédité et les Exigences et lignes directrices pour les organismes d’élaboration de normes du Conseil canadien des normes. Ces normes volontaires s’appliquent aux entités sous réglementation fédérale et peuvent être recommandées au ministre responsable de la </w:t>
          </w:r>
          <w:r w:rsidRPr="00B23FE5">
            <w:rPr>
              <w:rStyle w:val="TitleOfWork"/>
              <w:lang w:val="fr-CA"/>
            </w:rPr>
            <w:t>Loi canadienne sur l’accessibilité</w:t>
          </w:r>
          <w:r w:rsidRPr="00B23FE5">
            <w:rPr>
              <w:lang w:val="fr-CA"/>
            </w:rPr>
            <w:t>.</w:t>
          </w:r>
        </w:p>
        <w:p w14:paraId="51A7688E" w14:textId="77777777" w:rsidR="00A57039" w:rsidRPr="00B23FE5" w:rsidRDefault="00A57039" w:rsidP="00A57039">
          <w:pPr>
            <w:rPr>
              <w:lang w:val="fr-CA"/>
            </w:rPr>
          </w:pPr>
          <w:r w:rsidRPr="00B23FE5">
            <w:rPr>
              <w:lang w:val="fr-CA"/>
            </w:rPr>
            <w:lastRenderedPageBreak/>
            <w:t>En plus de ses efforts d’élaboration de normes d’accessibilité, Normes d’accessibilité Canada fait figure de chef de file parmi les organisations fédérales canadiennes pour la promotion et l’adoption de l’accessibilité au sein du gouvernement. Il est le premier organisme du gouvernement fédéral à avoir un conseil d’administration dirigé majoritairement par des personnes en situation de handicap. Normes d’accessibilité Canada dispose de bureaux accessibles et modernes pour ses employés, son conseil d’administration et les membres des comités techniques. L’espace de travail accessible, soigneusement conçu, illustre la conviction de l’organisation quant à l’importance d’une conception équitable.</w:t>
          </w:r>
        </w:p>
        <w:p w14:paraId="16AD6462" w14:textId="77777777" w:rsidR="00C75759" w:rsidRDefault="00C75759">
          <w:pPr>
            <w:keepLines w:val="0"/>
            <w:spacing w:before="0" w:beforeAutospacing="0" w:line="259" w:lineRule="auto"/>
            <w:rPr>
              <w:lang w:val="fr-CA"/>
            </w:rPr>
          </w:pPr>
          <w:r>
            <w:rPr>
              <w:lang w:val="fr-CA"/>
            </w:rPr>
            <w:br w:type="page"/>
          </w:r>
        </w:p>
        <w:p w14:paraId="1E62EB4D" w14:textId="77777777" w:rsidR="00A57039" w:rsidRPr="00B23FE5" w:rsidRDefault="00A57039" w:rsidP="00A57039">
          <w:pPr>
            <w:rPr>
              <w:lang w:val="fr-CA"/>
            </w:rPr>
          </w:pPr>
          <w:r w:rsidRPr="00B23FE5">
            <w:rPr>
              <w:lang w:val="fr-CA"/>
            </w:rPr>
            <w:lastRenderedPageBreak/>
            <w:t>Pour obtenir des renseignements supplémentaires sur Normes d’accessibilité Canada, ses normes ou ses publications, veuillez communiquer avec nous :</w:t>
          </w:r>
        </w:p>
        <w:p w14:paraId="53E9A909" w14:textId="77777777" w:rsidR="00A57039" w:rsidRDefault="00A57039" w:rsidP="00A57039">
          <w:r w:rsidRPr="00AE029E">
            <w:t xml:space="preserve">Site Web : </w:t>
          </w:r>
          <w:r w:rsidRPr="00AE029E">
            <w:tab/>
          </w:r>
          <w:hyperlink r:id="rId23" w:history="1">
            <w:r w:rsidRPr="003C380D">
              <w:rPr>
                <w:rStyle w:val="Hyperlink"/>
              </w:rPr>
              <w:t>https://accessibilite.canada.ca/</w:t>
            </w:r>
          </w:hyperlink>
        </w:p>
        <w:p w14:paraId="4606A3B9" w14:textId="77777777" w:rsidR="00A57039" w:rsidRPr="00F44CEA" w:rsidRDefault="00A57039" w:rsidP="00A57039">
          <w:pPr>
            <w:rPr>
              <w:lang w:val="fr-CA"/>
            </w:rPr>
          </w:pPr>
          <w:r w:rsidRPr="00F44CEA">
            <w:rPr>
              <w:lang w:val="fr-CA"/>
            </w:rPr>
            <w:t xml:space="preserve">Courriel : </w:t>
          </w:r>
          <w:r w:rsidRPr="00F44CEA">
            <w:rPr>
              <w:lang w:val="fr-CA"/>
            </w:rPr>
            <w:tab/>
          </w:r>
          <w:r>
            <w:fldChar w:fldCharType="begin"/>
          </w:r>
          <w:r>
            <w:instrText>HYPERLINK "mailto:ASC.Standards-Normes.ASC@asc-nac.gc.ca"</w:instrText>
          </w:r>
          <w:r>
            <w:fldChar w:fldCharType="separate"/>
          </w:r>
          <w:r w:rsidRPr="00F44CEA">
            <w:rPr>
              <w:rStyle w:val="Hyperlink"/>
              <w:lang w:val="fr-CA"/>
            </w:rPr>
            <w:t>ASC.Standards-Normes.ASC@asc-nac.gc.ca</w:t>
          </w:r>
          <w:r>
            <w:fldChar w:fldCharType="end"/>
          </w:r>
        </w:p>
        <w:p w14:paraId="07C3C7CD" w14:textId="2DF9766E" w:rsidR="00A57039" w:rsidRPr="00B60E51" w:rsidRDefault="00A57039" w:rsidP="00F44CEA">
          <w:pPr>
            <w:ind w:left="1560" w:hanging="1560"/>
            <w:rPr>
              <w:lang w:val="fr-CA"/>
            </w:rPr>
          </w:pPr>
          <w:r w:rsidRPr="00F44CEA">
            <w:rPr>
              <w:lang w:val="fr-CA"/>
            </w:rPr>
            <w:t xml:space="preserve">Courrier : </w:t>
          </w:r>
          <w:r w:rsidRPr="00F44CEA">
            <w:rPr>
              <w:lang w:val="fr-CA"/>
            </w:rPr>
            <w:tab/>
            <w:t>Normes d’accessibilité Canada</w:t>
          </w:r>
          <w:r w:rsidRPr="00F44CEA">
            <w:rPr>
              <w:lang w:val="fr-CA"/>
            </w:rPr>
            <w:br/>
            <w:t>320, boulevard Saint-Joseph</w:t>
          </w:r>
          <w:r w:rsidRPr="00F44CEA">
            <w:rPr>
              <w:lang w:val="fr-CA"/>
            </w:rPr>
            <w:br/>
            <w:t>Bureau 246</w:t>
          </w:r>
          <w:r w:rsidRPr="00F44CEA">
            <w:rPr>
              <w:lang w:val="fr-CA"/>
            </w:rPr>
            <w:br/>
            <w:t>Gatineau (Québec)</w:t>
          </w:r>
          <w:r w:rsidR="00825A82">
            <w:rPr>
              <w:lang w:val="fr-CA"/>
            </w:rPr>
            <w:t>, J8Y 3Y8</w:t>
          </w:r>
        </w:p>
        <w:p w14:paraId="7CD4C3E8" w14:textId="77777777" w:rsidR="00A57039" w:rsidRPr="00B60E51" w:rsidRDefault="00A57039" w:rsidP="00A57039">
          <w:pPr>
            <w:rPr>
              <w:lang w:val="fr-CA"/>
            </w:rPr>
          </w:pPr>
          <w:r w:rsidRPr="00B60E51">
            <w:rPr>
              <w:lang w:val="fr-CA"/>
            </w:rPr>
            <w:br w:type="page"/>
          </w:r>
        </w:p>
        <w:p w14:paraId="5B416C63" w14:textId="6A8F5527" w:rsidR="00D343BC" w:rsidRPr="0016799A" w:rsidRDefault="00FF36AB" w:rsidP="000A0DE6">
          <w:pPr>
            <w:pStyle w:val="Heading1"/>
            <w:ind w:left="567" w:hanging="567"/>
            <w:rPr>
              <w:lang w:val="fr-CA"/>
            </w:rPr>
          </w:pPr>
          <w:bookmarkStart w:id="225" w:name="_Toc195707977"/>
          <w:bookmarkStart w:id="226" w:name="_Toc209022808"/>
          <w:bookmarkStart w:id="227" w:name="_Toc219706164"/>
          <w:r w:rsidRPr="00B60E51">
            <w:rPr>
              <w:lang w:val="fr-CA"/>
            </w:rPr>
            <w:lastRenderedPageBreak/>
            <w:t>Énoncé du Conseil canadien des normes</w:t>
          </w:r>
          <w:bookmarkEnd w:id="225"/>
          <w:bookmarkEnd w:id="226"/>
          <w:bookmarkEnd w:id="227"/>
        </w:p>
        <w:p w14:paraId="5AD9893D" w14:textId="77777777" w:rsidR="000B13BD" w:rsidRDefault="000B13BD" w:rsidP="000B13BD">
          <w:r>
            <w:t>[ Réservé à la publication ]</w:t>
          </w:r>
          <w:bookmarkStart w:id="228" w:name="_Toc209189226"/>
          <w:bookmarkEnd w:id="228"/>
        </w:p>
        <w:p w14:paraId="3D17841B" w14:textId="77777777" w:rsidR="00D343BC" w:rsidRPr="00D343BC" w:rsidRDefault="00D343BC" w:rsidP="00D343BC">
          <w:r w:rsidRPr="00D343BC">
            <w:br w:type="page"/>
          </w:r>
        </w:p>
        <w:p w14:paraId="09B716B4" w14:textId="77777777" w:rsidR="00EF2C0A" w:rsidRPr="00AD3A54" w:rsidRDefault="00EF2C0A" w:rsidP="00EF2C0A">
          <w:pPr>
            <w:pStyle w:val="Heading1"/>
          </w:pPr>
          <w:bookmarkStart w:id="229" w:name="_Toc192079812"/>
          <w:bookmarkStart w:id="230" w:name="_Toc211952810"/>
          <w:bookmarkStart w:id="231" w:name="_Toc219706165"/>
          <w:r>
            <w:lastRenderedPageBreak/>
            <w:t>Avis juridique d</w:t>
          </w:r>
          <w:r w:rsidRPr="00AD3A54">
            <w:t>e NAC</w:t>
          </w:r>
          <w:bookmarkEnd w:id="229"/>
          <w:bookmarkEnd w:id="230"/>
          <w:bookmarkEnd w:id="231"/>
          <w:r w:rsidRPr="00AD3A54">
            <w:t xml:space="preserve"> </w:t>
          </w:r>
        </w:p>
        <w:p w14:paraId="4FEEA565" w14:textId="77777777" w:rsidR="00EF2C0A" w:rsidRPr="00057554" w:rsidRDefault="00EF2C0A" w:rsidP="00EF2C0A">
          <w:pPr>
            <w:rPr>
              <w:lang w:val="fr-CA"/>
            </w:rPr>
          </w:pPr>
          <w:r w:rsidRPr="00057554">
            <w:rPr>
              <w:rStyle w:val="EmphasisUseSparingly"/>
              <w:lang w:val="fr-CA"/>
            </w:rPr>
            <w:t>Remarque :</w:t>
          </w:r>
          <w:r w:rsidRPr="00057554">
            <w:rPr>
              <w:lang w:val="fr-CA"/>
            </w:rPr>
            <w:t xml:space="preserve"> Le présent projet de norme est en cours d’élaboration et peut faire l’objet de changements. Il ne devrait pas être utilisé à des fins de référence.</w:t>
          </w:r>
        </w:p>
        <w:p w14:paraId="114C01C4" w14:textId="77777777" w:rsidR="00EF2C0A" w:rsidRPr="00057554" w:rsidRDefault="00EF2C0A" w:rsidP="00EF2C0A">
          <w:pPr>
            <w:rPr>
              <w:lang w:val="fr-CA"/>
            </w:rPr>
          </w:pPr>
          <w:r w:rsidRPr="00057554">
            <w:rPr>
              <w:lang w:val="fr-CA"/>
            </w:rPr>
            <w:t>Veuillez lire cet avis juridique de Normes d’accessibilité Canada (NAC) avant d’utiliser ce projet de norme.</w:t>
          </w:r>
        </w:p>
        <w:p w14:paraId="2BEC6929" w14:textId="77777777" w:rsidR="00EF2C0A" w:rsidRPr="00EF2C0A" w:rsidRDefault="00EF2C0A" w:rsidP="00EF2C0A">
          <w:pPr>
            <w:pStyle w:val="Heading2"/>
          </w:pPr>
          <w:bookmarkStart w:id="232" w:name="_Toc192079813"/>
          <w:bookmarkStart w:id="233" w:name="_Toc211952811"/>
          <w:bookmarkStart w:id="234" w:name="_Toc219706166"/>
          <w:r>
            <w:t xml:space="preserve">Avis juridique </w:t>
          </w:r>
          <w:r w:rsidRPr="00EF2C0A">
            <w:t>concernant les normes</w:t>
          </w:r>
          <w:bookmarkEnd w:id="232"/>
          <w:bookmarkEnd w:id="233"/>
          <w:bookmarkEnd w:id="234"/>
        </w:p>
        <w:p w14:paraId="278B2323" w14:textId="77777777" w:rsidR="00EF2C0A" w:rsidRPr="00DB6595" w:rsidRDefault="00EF2C0A" w:rsidP="00EF2C0A">
          <w:pPr>
            <w:rPr>
              <w:lang w:val="fr-CA"/>
            </w:rPr>
          </w:pPr>
          <w:r w:rsidRPr="00DB6595">
            <w:rPr>
              <w:lang w:val="fr-CA"/>
            </w:rPr>
            <w:t>Les normes de l’Organisation canadienne d’élaboration de normes d’accessibilité (exerçant ses activités sous le nom de « Normes d’accessibilité Canada ») sont élaborées dans le cadre d’un processus d’élaboration des normes fondé sur le consensus et approuvé par le Conseil canadien des normes. Ce processus réunit des volontaires représentant des points de vue et des intérêts variés dans le but d’atteindre un consensus et d’élaborer des normes.</w:t>
          </w:r>
        </w:p>
        <w:p w14:paraId="1FCFB601" w14:textId="77777777" w:rsidR="00EF2C0A" w:rsidRPr="00DB6595" w:rsidRDefault="00EF2C0A" w:rsidP="00EF2C0A">
          <w:pPr>
            <w:rPr>
              <w:lang w:val="fr-CA"/>
            </w:rPr>
          </w:pPr>
          <w:r w:rsidRPr="00DB6595">
            <w:rPr>
              <w:lang w:val="fr-CA"/>
            </w:rPr>
            <w:t>Bien que Normes d’accessibilité Canada administre le processus et établisse des règles pour favoriser l’impartialité dans l’atteinte d’un consensus, elle ne met à l’essai, n’évalue ni ne vérifie de façon indépendante le contenu des normes. Au cours de ce processus, Normes d’accessibilité Canada met le projet de norme à la disposition des intéressés pour qu’ils puissent le commenter, l’examiner et l’approuver.</w:t>
          </w:r>
        </w:p>
        <w:p w14:paraId="7E86185B" w14:textId="77777777" w:rsidR="00EF2C0A" w:rsidRPr="00DB6595" w:rsidRDefault="00EF2C0A" w:rsidP="00FD5A7B">
          <w:pPr>
            <w:pStyle w:val="Heading2"/>
            <w:rPr>
              <w:lang w:val="fr-CA"/>
            </w:rPr>
          </w:pPr>
          <w:bookmarkStart w:id="235" w:name="_Toc195707980"/>
          <w:bookmarkStart w:id="236" w:name="_Toc209022811"/>
          <w:bookmarkStart w:id="237" w:name="_Toc219706167"/>
          <w:r w:rsidRPr="00DB6595">
            <w:rPr>
              <w:lang w:val="fr-CA"/>
            </w:rPr>
            <w:t>Comprendre la présente édition du projet de norme</w:t>
          </w:r>
          <w:bookmarkEnd w:id="235"/>
          <w:bookmarkEnd w:id="236"/>
          <w:bookmarkEnd w:id="237"/>
        </w:p>
        <w:p w14:paraId="79614CA6" w14:textId="77777777" w:rsidR="00EF2C0A" w:rsidRPr="00DB6595" w:rsidRDefault="00EF2C0A" w:rsidP="00EF2C0A">
          <w:pPr>
            <w:rPr>
              <w:lang w:val="fr-CA"/>
            </w:rPr>
          </w:pPr>
          <w:r w:rsidRPr="00DB6595">
            <w:rPr>
              <w:lang w:val="fr-CA"/>
            </w:rPr>
            <w:t>Des révisions peuvent avoir été ou pourraient à l’avenir être élaborées par rapport à la présente édition du projet de norme. Il incombe aux utilisateurs de ce document de vérifier si des révisions existent.</w:t>
          </w:r>
        </w:p>
        <w:p w14:paraId="24C6643B" w14:textId="77777777" w:rsidR="00EF2C0A" w:rsidRPr="00EF2C0A" w:rsidRDefault="00EF2C0A" w:rsidP="00EF2C0A">
          <w:pPr>
            <w:pStyle w:val="Heading2"/>
          </w:pPr>
          <w:bookmarkStart w:id="238" w:name="_Toc192079814"/>
          <w:bookmarkStart w:id="239" w:name="_Toc211952812"/>
          <w:bookmarkStart w:id="240" w:name="_Toc219706168"/>
          <w:r>
            <w:lastRenderedPageBreak/>
            <w:t>E</w:t>
          </w:r>
          <w:r w:rsidRPr="00EF2C0A">
            <w:t>xclusion de responsabilité</w:t>
          </w:r>
          <w:bookmarkEnd w:id="238"/>
          <w:bookmarkEnd w:id="239"/>
          <w:bookmarkEnd w:id="240"/>
        </w:p>
        <w:p w14:paraId="6A0002DF" w14:textId="77777777" w:rsidR="00EF2C0A" w:rsidRPr="00C1092B" w:rsidRDefault="00EF2C0A" w:rsidP="00EF2C0A">
          <w:pPr>
            <w:rPr>
              <w:lang w:val="fr-CA"/>
            </w:rPr>
          </w:pPr>
          <w:r w:rsidRPr="00C1092B">
            <w:rPr>
              <w:lang w:val="fr-CA"/>
            </w:rPr>
            <w:t>Le présent document est une version provisoire aux fins de formulation, de commentaires, d’examen et d’approbation seulement. Il fournit sans assertion, garantie, ni condition explicite ou implicite de quelque nature que ce soit, y compris, mais non de façon limitative, les garanties ou conditions implicites relatives à la qualité marchande, à l’adaptation à un usage particulier ainsi qu’à l’absence de violation des droits de propriété intellectuelle des tiers. Normes d’accessibilité Canada ne fournit aucune garantie quant à l’exactitude, à l’intégralité ou à la pertinence des renseignements contenus dans ce document. Normes d’accessibilité Canada ne fait aucune assertion ni ne fournit aucune garantie quant à la conformité du document à toute désignation, règle ou réglementation applicable aux lois et aux règlements pertinents. Les utilisateurs de ce document doivent consulter les lois et règlements fédéraux, provinciaux et municipaux applicables. Normes d’accessibilité Canada, par la publication de ses documents de normes, n’a pas l’intention d’inciter à prendre des mesures qui ne sont pas conformes aux lois applicables, et le présent document ne peut être interprété comme le faisant.</w:t>
          </w:r>
        </w:p>
        <w:p w14:paraId="1D7B243E" w14:textId="77777777" w:rsidR="00EF2C0A" w:rsidRPr="00C1092B" w:rsidRDefault="00EF2C0A" w:rsidP="00EF2C0A">
          <w:pPr>
            <w:rPr>
              <w:lang w:val="fr-CA"/>
            </w:rPr>
          </w:pPr>
          <w:r w:rsidRPr="00C1092B">
            <w:rPr>
              <w:lang w:val="fr-CA"/>
            </w:rPr>
            <w:t>Normes d’accessibilité Canada, ses entrepreneurs, ses agents, ses employés, ses administrateurs ou dirigeants, ou Sa Majesté le Roi du Canada, ses employés, ses entrepreneurs, ses agents, administrateurs ou dirigeants ne doivent aucun cas être tenus responsables de toute blessure, perte, ou dépense, ou de tout dommage direct, indirect ou accessoire, y compris, mais non de façon limitative ou consécutive, toute perte de revenu l’interruption des activités, la perte ou l’altération de données, ou tout autre préjudice commercial ou économique, qu’il soit fondé sur un contrat, un délit civil (y compris le délit de négligence) ou tout autre élément de responsabilité tirant son origine de quelque façon que ce soit de l’accès au document, de sa possession ou de son utilisation, même si Normes d’accessibilité Canada a été avisé de l’éventualité de tels dommages, blessures, pertes, coûts ou dépenses.</w:t>
          </w:r>
        </w:p>
        <w:p w14:paraId="182A2256" w14:textId="77777777" w:rsidR="00EF2C0A" w:rsidRPr="00C1092B" w:rsidRDefault="00EF2C0A" w:rsidP="00EF2C0A">
          <w:pPr>
            <w:rPr>
              <w:lang w:val="fr-CA"/>
            </w:rPr>
          </w:pPr>
          <w:r w:rsidRPr="00C1092B">
            <w:rPr>
              <w:lang w:val="fr-CA"/>
            </w:rPr>
            <w:lastRenderedPageBreak/>
            <w:t>En publiant et en rendant ce document accessible, Normes d’accessibilité Canada n’entend pas fournir des services professionnels ou autres au nom de quelques personnes ou entités que ce soit, ni remplir les engagements que de telles personnes ou entités auraient pris auprès de tiers. Les renseignements fournis dans ce document sont destinés aux utilisateurs qui possèdent le niveau de connaissance et d’expérience nécessaire pour utiliser et mettre en application ce contenu et Normes d’accessibilité Canada n’accepte aucune responsabilité découlant de quelque façon que ce soit de l’utilisation des renseignements contenus dans ce document ou de toute confiance qu’on leur porte.</w:t>
          </w:r>
        </w:p>
        <w:p w14:paraId="2373FF7B" w14:textId="77777777" w:rsidR="00EF2C0A" w:rsidRPr="00C1092B" w:rsidRDefault="00EF2C0A" w:rsidP="00EF2C0A">
          <w:pPr>
            <w:rPr>
              <w:lang w:val="fr-CA"/>
            </w:rPr>
          </w:pPr>
          <w:r w:rsidRPr="00C1092B">
            <w:rPr>
              <w:lang w:val="fr-CA"/>
            </w:rPr>
            <w:t>Normes d’accessibilité Canada publie des normes volontaires et des documents connexes. Normes d’accessibilité Canada n’entend pas imposer la conformité au contenu des normes ou autres documents qu’elle publie et ne s’engage pas à le faire.</w:t>
          </w:r>
        </w:p>
        <w:p w14:paraId="341CDB0A" w14:textId="77777777" w:rsidR="00EF2C0A" w:rsidRPr="00C1092B" w:rsidRDefault="00EF2C0A" w:rsidP="00EF2C0A">
          <w:pPr>
            <w:pStyle w:val="Heading2"/>
            <w:rPr>
              <w:lang w:val="fr-CA"/>
            </w:rPr>
          </w:pPr>
          <w:bookmarkStart w:id="241" w:name="_Toc192079815"/>
          <w:bookmarkStart w:id="242" w:name="_Toc211952813"/>
          <w:bookmarkStart w:id="243" w:name="_Toc219706169"/>
          <w:r w:rsidRPr="00C1092B">
            <w:rPr>
              <w:lang w:val="fr-CA"/>
            </w:rPr>
            <w:t>Propriété et droits de propriété intellectuelle</w:t>
          </w:r>
          <w:bookmarkEnd w:id="241"/>
          <w:bookmarkEnd w:id="242"/>
          <w:bookmarkEnd w:id="243"/>
        </w:p>
        <w:p w14:paraId="520BE1CD" w14:textId="77777777" w:rsidR="00EF2C0A" w:rsidRPr="00C1092B" w:rsidRDefault="00EF2C0A" w:rsidP="00EF2C0A">
          <w:pPr>
            <w:rPr>
              <w:lang w:val="fr-CA"/>
            </w:rPr>
          </w:pPr>
          <w:r w:rsidRPr="00C1092B">
            <w:rPr>
              <w:lang w:val="fr-CA"/>
            </w:rPr>
            <w:t>Comme il est convenu entre Normes d’accessibilité Canada et les utilisateurs du présent document (qu’il soit imprimé, électronique ou sous une autre forme), Normes d’accessibilité Canada est propriétaire, ou le licencié autorisé, de tous les droits d’auteur et droits moraux contenus dans le présent document. En outre, Normes d’accessibilité Canada est propriétaire de sa marque officielle. De façon non limitative, l’utilisation, la modification, la copie ou la divulgation non autorisée de ce document peut contrevenir aux lois qui protègent la propriété intellectuelle de Normes d’accessibilité Canada et/ou à d’autres parties d’exercer des recours légaux relativement à une telle utilisation, modification, copie ou divulgation. Dans la mesure permise par la licence ou la loi, Normes d’accessibilité Canada conserve tous les droits de propriété intellectuelle et autres droits relatifs à ce document.</w:t>
          </w:r>
        </w:p>
        <w:p w14:paraId="2CE26724" w14:textId="77777777" w:rsidR="00EF2C0A" w:rsidRPr="00EF2C0A" w:rsidRDefault="00EF2C0A" w:rsidP="00EF2C0A">
          <w:pPr>
            <w:pStyle w:val="Heading2"/>
          </w:pPr>
          <w:bookmarkStart w:id="244" w:name="_Toc192079816"/>
          <w:bookmarkStart w:id="245" w:name="_Toc211952814"/>
          <w:bookmarkStart w:id="246" w:name="_Toc219706170"/>
          <w:r>
            <w:lastRenderedPageBreak/>
            <w:t>Droits de brevet</w:t>
          </w:r>
          <w:bookmarkEnd w:id="244"/>
          <w:bookmarkEnd w:id="245"/>
          <w:bookmarkEnd w:id="246"/>
        </w:p>
        <w:p w14:paraId="049B989D" w14:textId="6DC73FB5" w:rsidR="00EF2C0A" w:rsidRPr="00DA6507" w:rsidRDefault="00EF2C0A" w:rsidP="00EF2C0A">
          <w:pPr>
            <w:rPr>
              <w:lang w:val="fr-CA"/>
            </w:rPr>
          </w:pPr>
          <w:r w:rsidRPr="00DA6507">
            <w:rPr>
              <w:lang w:val="fr-CA"/>
            </w:rPr>
            <w:t>Certains éléments de la présente norme peuvent faire l’objet de droits de brevet. Normes d’accessibilité Canada ne doit pas être tenue responsable de préciser quels sont ces droits de brevet. Les utilisateurs de la présente norme sont avisés que c’est à eux qu’il incombe de vérifier la validité de ces droits de brevet.</w:t>
          </w:r>
        </w:p>
        <w:p w14:paraId="603A6BEA" w14:textId="77777777" w:rsidR="00EF2C0A" w:rsidRPr="00EF2C0A" w:rsidRDefault="00EF2C0A" w:rsidP="00EF2C0A">
          <w:pPr>
            <w:pStyle w:val="Heading2"/>
          </w:pPr>
          <w:bookmarkStart w:id="247" w:name="_Toc192079817"/>
          <w:bookmarkStart w:id="248" w:name="_Toc211952815"/>
          <w:bookmarkStart w:id="249" w:name="_Toc219706171"/>
          <w:r>
            <w:t>Cession des droits d</w:t>
          </w:r>
          <w:r w:rsidRPr="00EF2C0A">
            <w:t>’auteur</w:t>
          </w:r>
          <w:bookmarkEnd w:id="247"/>
          <w:bookmarkEnd w:id="248"/>
          <w:bookmarkEnd w:id="249"/>
        </w:p>
        <w:p w14:paraId="3C4AE8A5" w14:textId="77777777" w:rsidR="00EF2C0A" w:rsidRPr="00DA6507" w:rsidRDefault="00EF2C0A" w:rsidP="00EF2C0A">
          <w:pPr>
            <w:rPr>
              <w:lang w:val="fr-CA"/>
            </w:rPr>
          </w:pPr>
          <w:r w:rsidRPr="00DA6507">
            <w:rPr>
              <w:lang w:val="fr-CA"/>
            </w:rPr>
            <w:t>Dans le présent avis juridique, un « commentaire » désigne toute information fournie de façon écrite ou orale, y compris toute suggestion, qu’un utilisateur fournit à Normes d’accessibilité Canada au sujet d’une norme et/ou d’un projet de norme. En fournissant un commentaire à Normes d’accessibilité Canada concernant une norme ou un projet de norme, l’auteur du commentaire accorde à Normes d’accessibilité Canada et au gouvernement du Canada une licence non exclusive, libre de redevances, perpétuelle, mondiale et irrévocable pour utiliser, traduire, reproduire, divulguer, distribuer, publier, modifier, autoriser à reproduire, communiquer au public par télécommunication, enregistrer, exécuter ou concéder en sous-licence le commentaire, en tout ou en partie, et sous quelque forme ou support que ce soit, pour réviser la norme ou le projet de norme, et/ou à des fins non commerciales. En fournissant le commentaire et étant le seul propriétaire du droit d’auteur ou ayant l’autorité de concéder le droit d’auteur, l’auteur du commentaire confirme sa capacité à concéder la licence et renonce à tous les droits moraux associés, y compris, sans limitation, tous les droits d’attribution en ce qui concerne le commentaire. Si la personne qui fournit le commentaire n’en est pas l’auteur, elle confirme, en offrant le commentaire, qu’une renonciation aux droits moraux de l’auteur a été faite en faveur de cette personne ou du détenteur des droits d’auteur concernant le commentaire. Au moment de fournir un commentaire, l’auteur du commentaire doit déclarer et fournir une citation pour toute propriété intellectuelle contenue dans le commentaire qui est détenue par une tierce partie.</w:t>
          </w:r>
        </w:p>
        <w:p w14:paraId="20CBC65A" w14:textId="77777777" w:rsidR="00EF2C0A" w:rsidRPr="00EF2C0A" w:rsidRDefault="00EF2C0A" w:rsidP="00EF2C0A">
          <w:pPr>
            <w:pStyle w:val="Heading2"/>
          </w:pPr>
          <w:bookmarkStart w:id="250" w:name="_Toc192079818"/>
          <w:bookmarkStart w:id="251" w:name="_Toc211952816"/>
          <w:bookmarkStart w:id="252" w:name="_Toc219706172"/>
          <w:r>
            <w:lastRenderedPageBreak/>
            <w:t xml:space="preserve">Utilisations autorisées </w:t>
          </w:r>
          <w:r w:rsidRPr="00EF2C0A">
            <w:t>du présent document</w:t>
          </w:r>
          <w:bookmarkEnd w:id="250"/>
          <w:bookmarkEnd w:id="251"/>
          <w:bookmarkEnd w:id="252"/>
        </w:p>
        <w:p w14:paraId="44853E51" w14:textId="77777777" w:rsidR="00EF2C0A" w:rsidRPr="00E30CCD" w:rsidRDefault="00EF2C0A" w:rsidP="00EF2C0A">
          <w:pPr>
            <w:rPr>
              <w:lang w:val="fr-CA"/>
            </w:rPr>
          </w:pPr>
          <w:r w:rsidRPr="00E30CCD">
            <w:rPr>
              <w:lang w:val="fr-CA"/>
            </w:rPr>
            <w:t>Ce document, sous toutes ses formes (y compris dans un média substitut), n’est fourni par Normes d’accessibilité Canada qu’à des fins d’informationnelles, pédagogiques et non commerciale. Les utilisateurs de ce document ne sont autorisés qu’à effectuer les actions suivantes :</w:t>
          </w:r>
        </w:p>
        <w:p w14:paraId="46B4782D" w14:textId="77777777" w:rsidR="00EF2C0A" w:rsidRPr="00E30CCD" w:rsidRDefault="00EF2C0A" w:rsidP="00EF2C0A">
          <w:pPr>
            <w:pStyle w:val="ListParagraph"/>
            <w:numPr>
              <w:ilvl w:val="0"/>
              <w:numId w:val="6"/>
            </w:numPr>
            <w:rPr>
              <w:lang w:val="fr-CA"/>
            </w:rPr>
          </w:pPr>
          <w:r w:rsidRPr="00E30CCD">
            <w:rPr>
              <w:lang w:val="fr-CA"/>
            </w:rPr>
            <w:t>Télécharger ce document sur un ordinateur dans le seul but de le consulter.</w:t>
          </w:r>
        </w:p>
        <w:p w14:paraId="14732C85" w14:textId="77777777" w:rsidR="00EF2C0A" w:rsidRPr="00E30CCD" w:rsidRDefault="00EF2C0A" w:rsidP="00EF2C0A">
          <w:pPr>
            <w:pStyle w:val="ListParagraph"/>
            <w:numPr>
              <w:ilvl w:val="0"/>
              <w:numId w:val="6"/>
            </w:numPr>
            <w:rPr>
              <w:lang w:val="fr-CA"/>
            </w:rPr>
          </w:pPr>
          <w:r w:rsidRPr="00E30CCD">
            <w:rPr>
              <w:lang w:val="fr-CA"/>
            </w:rPr>
            <w:t>Consulter et parcourir ce document.</w:t>
          </w:r>
        </w:p>
        <w:p w14:paraId="217F9973" w14:textId="77777777" w:rsidR="00EF2C0A" w:rsidRPr="00E30CCD" w:rsidRDefault="00EF2C0A" w:rsidP="00EF2C0A">
          <w:pPr>
            <w:pStyle w:val="ListParagraph"/>
            <w:numPr>
              <w:ilvl w:val="0"/>
              <w:numId w:val="6"/>
            </w:numPr>
            <w:rPr>
              <w:lang w:val="fr-CA"/>
            </w:rPr>
          </w:pPr>
          <w:r w:rsidRPr="00E30CCD">
            <w:rPr>
              <w:lang w:val="fr-CA"/>
            </w:rPr>
            <w:t>Imprimer ce document s’il s’agit d’une version électronique.</w:t>
          </w:r>
        </w:p>
        <w:p w14:paraId="372E8DEB" w14:textId="77777777" w:rsidR="00EF2C0A" w:rsidRPr="00E30CCD" w:rsidRDefault="00EF2C0A" w:rsidP="00EF2C0A">
          <w:pPr>
            <w:rPr>
              <w:lang w:val="fr-CA"/>
            </w:rPr>
          </w:pPr>
          <w:r w:rsidRPr="00E30CCD">
            <w:rPr>
              <w:lang w:val="fr-CA"/>
            </w:rPr>
            <w:t>En outre, les utilisateurs ne doivent pas faire ce qui suit et ne doivent pas permettre à d’autres personnes de le faire :</w:t>
          </w:r>
        </w:p>
        <w:p w14:paraId="1007529B" w14:textId="77777777" w:rsidR="00EF2C0A" w:rsidRPr="00E30CCD" w:rsidRDefault="00EF2C0A" w:rsidP="00EF2C0A">
          <w:pPr>
            <w:pStyle w:val="ListParagraph"/>
            <w:numPr>
              <w:ilvl w:val="0"/>
              <w:numId w:val="6"/>
            </w:numPr>
            <w:rPr>
              <w:lang w:val="fr-CA"/>
            </w:rPr>
          </w:pPr>
          <w:r w:rsidRPr="00E30CCD">
            <w:rPr>
              <w:lang w:val="fr-CA"/>
            </w:rPr>
            <w:t>Modifier ce document de quelque façon que ce soit où retirer le présent avis juridique joint à cette norme.</w:t>
          </w:r>
        </w:p>
        <w:p w14:paraId="03F8BCCF" w14:textId="77777777" w:rsidR="00EF2C0A" w:rsidRPr="00E30CCD" w:rsidRDefault="00EF2C0A" w:rsidP="00EF2C0A">
          <w:pPr>
            <w:pStyle w:val="ListParagraph"/>
            <w:numPr>
              <w:ilvl w:val="0"/>
              <w:numId w:val="6"/>
            </w:numPr>
            <w:rPr>
              <w:lang w:val="fr-CA"/>
            </w:rPr>
          </w:pPr>
          <w:r w:rsidRPr="00E30CCD">
            <w:rPr>
              <w:lang w:val="fr-CA"/>
            </w:rPr>
            <w:t>Vendre ce document sans l’autorisation de Normes d’accessibilité Canada.</w:t>
          </w:r>
        </w:p>
        <w:p w14:paraId="78700306" w14:textId="67B20A47" w:rsidR="00EF2C0A" w:rsidRPr="00E30CCD" w:rsidRDefault="00EF2C0A" w:rsidP="00EF2C0A">
          <w:pPr>
            <w:pStyle w:val="ListParagraph"/>
            <w:numPr>
              <w:ilvl w:val="0"/>
              <w:numId w:val="6"/>
            </w:numPr>
            <w:rPr>
              <w:lang w:val="fr-CA"/>
            </w:rPr>
          </w:pPr>
          <w:r w:rsidRPr="00E30CCD">
            <w:rPr>
              <w:lang w:val="fr-CA"/>
            </w:rPr>
            <w:t>Utiliser ce document pour induire en erreur les utilisateurs d’un produit, d’un processus ou d’un service visé par la présente norme.</w:t>
          </w:r>
        </w:p>
        <w:p w14:paraId="7C30F55C" w14:textId="77777777" w:rsidR="00EF2C0A" w:rsidRPr="00E30CCD" w:rsidRDefault="00EF2C0A" w:rsidP="00EF2C0A">
          <w:pPr>
            <w:rPr>
              <w:highlight w:val="lightGray"/>
              <w:lang w:val="fr-CA"/>
            </w:rPr>
          </w:pPr>
          <w:r w:rsidRPr="00E30CCD">
            <w:rPr>
              <w:rStyle w:val="EmphasisUseSparingly"/>
              <w:lang w:val="fr-CA"/>
            </w:rPr>
            <w:t>Si vous êtes en désaccord avec l’une ou l’autre des conditions du présent avis juridique, vous ne devez pas télécharger ou utiliser le présent document ni en reproduire le contenu. L’utilisation de ce document indique que vous acceptez les conditions de cet avis juridique.</w:t>
          </w:r>
          <w:r w:rsidRPr="00E30CCD">
            <w:rPr>
              <w:lang w:val="fr-CA"/>
            </w:rPr>
            <w:br w:type="page"/>
          </w:r>
          <w:bookmarkStart w:id="253" w:name="_Toc209188794"/>
          <w:bookmarkStart w:id="254" w:name="_Toc209188793"/>
          <w:bookmarkStart w:id="255" w:name="_Toc209188792"/>
          <w:bookmarkStart w:id="256" w:name="_Toc209188791"/>
          <w:bookmarkStart w:id="257" w:name="_Toc209188790"/>
          <w:bookmarkStart w:id="258" w:name="_Toc209188789"/>
          <w:bookmarkStart w:id="259" w:name="_Toc209188788"/>
          <w:bookmarkStart w:id="260" w:name="_Toc209188787"/>
          <w:bookmarkStart w:id="261" w:name="_Toc209188786"/>
          <w:bookmarkStart w:id="262" w:name="_Toc209188785"/>
          <w:bookmarkStart w:id="263" w:name="_Toc209188784"/>
          <w:bookmarkStart w:id="264" w:name="_Toc209188783"/>
          <w:bookmarkStart w:id="265" w:name="_Toc209188782"/>
          <w:bookmarkStart w:id="266" w:name="_Toc209188781"/>
          <w:bookmarkStart w:id="267" w:name="_Toc209188780"/>
          <w:bookmarkStart w:id="268" w:name="_Toc209188779"/>
          <w:bookmarkStart w:id="269" w:name="_Toc209188778"/>
          <w:bookmarkStart w:id="270" w:name="_Toc209188777"/>
          <w:bookmarkStart w:id="271" w:name="_Toc209188776"/>
          <w:bookmarkStart w:id="272" w:name="_Toc209188775"/>
          <w:bookmarkStart w:id="273" w:name="_Toc209188774"/>
          <w:bookmarkStart w:id="274" w:name="_Toc209188773"/>
          <w:bookmarkStart w:id="275" w:name="_Toc209188772"/>
          <w:bookmarkStart w:id="276" w:name="_Toc209188771"/>
          <w:bookmarkStart w:id="277" w:name="_Toc209188770"/>
          <w:bookmarkStart w:id="278" w:name="_Toc209188769"/>
          <w:bookmarkStart w:id="279" w:name="_Toc209188768"/>
          <w:bookmarkStart w:id="280" w:name="_Toc209188767"/>
          <w:bookmarkStart w:id="281" w:name="_Toc209188766"/>
          <w:bookmarkStart w:id="282" w:name="_Toc209188765"/>
          <w:bookmarkStart w:id="283" w:name="_Toc209188764"/>
          <w:bookmarkStart w:id="284" w:name="_Toc209188763"/>
          <w:bookmarkStart w:id="285" w:name="_Toc209188762"/>
          <w:bookmarkStart w:id="286" w:name="_Toc209188761"/>
          <w:bookmarkStart w:id="287" w:name="_Toc209188760"/>
          <w:bookmarkStart w:id="288" w:name="_Toc209188759"/>
          <w:bookmarkStart w:id="289" w:name="_Toc209188758"/>
          <w:bookmarkStart w:id="290" w:name="_Toc209188757"/>
          <w:bookmarkStart w:id="291" w:name="_Toc209188756"/>
          <w:bookmarkStart w:id="292" w:name="_Toc209188755"/>
          <w:bookmarkStart w:id="293" w:name="_Toc209188754"/>
          <w:bookmarkStart w:id="294" w:name="_Toc209188753"/>
          <w:bookmarkStart w:id="295" w:name="_Toc209188752"/>
          <w:bookmarkStart w:id="296" w:name="_Toc209188751"/>
          <w:bookmarkStart w:id="297" w:name="_Toc209188750"/>
          <w:bookmarkStart w:id="298" w:name="_Toc209188749"/>
          <w:bookmarkStart w:id="299" w:name="_Toc209188748"/>
          <w:bookmarkStart w:id="300" w:name="_Toc209188747"/>
          <w:bookmarkStart w:id="301" w:name="_Toc209188746"/>
          <w:bookmarkStart w:id="302" w:name="_Toc209188745"/>
          <w:bookmarkStart w:id="303" w:name="_Toc209188744"/>
          <w:bookmarkStart w:id="304" w:name="_Toc209188743"/>
          <w:bookmarkStart w:id="305" w:name="_Toc209188742"/>
          <w:bookmarkStart w:id="306" w:name="_Toc209188741"/>
          <w:bookmarkStart w:id="307" w:name="_Toc209188740"/>
          <w:bookmarkStart w:id="308" w:name="_Toc209188739"/>
          <w:bookmarkStart w:id="309" w:name="_Toc209188738"/>
          <w:bookmarkStart w:id="310" w:name="_Toc209188737"/>
          <w:bookmarkStart w:id="311" w:name="_Toc209188736"/>
          <w:bookmarkStart w:id="312" w:name="_Toc209188735"/>
          <w:bookmarkStart w:id="313" w:name="_Toc209188734"/>
          <w:bookmarkStart w:id="314" w:name="_Toc209188733"/>
          <w:bookmarkStart w:id="315" w:name="_Toc209188732"/>
          <w:bookmarkStart w:id="316" w:name="_Toc209188731"/>
          <w:bookmarkStart w:id="317" w:name="_Toc209188730"/>
          <w:bookmarkStart w:id="318" w:name="_Toc209188729"/>
          <w:bookmarkStart w:id="319" w:name="_Toc209188728"/>
          <w:bookmarkStart w:id="320" w:name="_Toc209188727"/>
          <w:bookmarkStart w:id="321" w:name="_Toc209188726"/>
          <w:bookmarkStart w:id="322" w:name="_Toc209188725"/>
          <w:bookmarkStart w:id="323" w:name="_Toc209188724"/>
          <w:bookmarkStart w:id="324" w:name="_Toc209188723"/>
          <w:bookmarkStart w:id="325" w:name="_Toc209188722"/>
          <w:bookmarkStart w:id="326" w:name="_Toc209188721"/>
          <w:bookmarkStart w:id="327" w:name="_Toc209188720"/>
          <w:bookmarkStart w:id="328" w:name="_Toc209188719"/>
          <w:bookmarkStart w:id="329" w:name="_Toc209188718"/>
          <w:bookmarkStart w:id="330" w:name="_Toc209188717"/>
          <w:bookmarkStart w:id="331" w:name="_Toc209188716"/>
          <w:bookmarkStart w:id="332" w:name="_Toc209188715"/>
          <w:bookmarkStart w:id="333" w:name="_Toc209188714"/>
          <w:bookmarkStart w:id="334" w:name="_Toc209188713"/>
          <w:bookmarkStart w:id="335" w:name="_Toc209188712"/>
          <w:bookmarkStart w:id="336" w:name="_Toc209188711"/>
          <w:bookmarkStart w:id="337" w:name="_Toc209188795"/>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7DBCBB8" w14:textId="77777777" w:rsidR="008A2C74" w:rsidRPr="008A2C74" w:rsidRDefault="008A2C74" w:rsidP="008A2C74">
          <w:pPr>
            <w:pStyle w:val="Heading1"/>
          </w:pPr>
          <w:bookmarkStart w:id="338" w:name="_Toc211952817"/>
          <w:bookmarkStart w:id="339" w:name="_Toc219706173"/>
          <w:r w:rsidRPr="006F31D4">
            <w:lastRenderedPageBreak/>
            <w:t>Membres du comité technique</w:t>
          </w:r>
          <w:bookmarkStart w:id="340" w:name="_Toc209188796"/>
          <w:bookmarkEnd w:id="338"/>
          <w:bookmarkEnd w:id="339"/>
          <w:bookmarkEnd w:id="340"/>
        </w:p>
        <w:p w14:paraId="4A5357C6" w14:textId="77A724F7" w:rsidR="00604C18" w:rsidRDefault="008A2C74" w:rsidP="00604C18">
          <w:r>
            <w:t>[ R</w:t>
          </w:r>
          <w:r w:rsidRPr="008A2C74">
            <w:t>é</w:t>
          </w:r>
          <w:r>
            <w:t>serv</w:t>
          </w:r>
          <w:r w:rsidRPr="008A2C74">
            <w:t>é</w:t>
          </w:r>
          <w:r>
            <w:t xml:space="preserve"> </w:t>
          </w:r>
          <w:r w:rsidRPr="008A2C74">
            <w:t>à</w:t>
          </w:r>
          <w:r>
            <w:t xml:space="preserve"> la publication ]</w:t>
          </w:r>
        </w:p>
      </w:sdtContent>
    </w:sdt>
    <w:bookmarkStart w:id="341" w:name="_Toc211607582" w:displacedByCustomXml="prev"/>
    <w:bookmarkEnd w:id="341" w:displacedByCustomXml="prev"/>
    <w:bookmarkStart w:id="342" w:name="_Toc211607287" w:displacedByCustomXml="prev"/>
    <w:bookmarkEnd w:id="342" w:displacedByCustomXml="prev"/>
    <w:bookmarkEnd w:id="223" w:displacedByCustomXml="prev"/>
    <w:p w14:paraId="7B69DC64" w14:textId="77777777" w:rsidR="00604C18" w:rsidRDefault="00604C18">
      <w:pPr>
        <w:keepLines w:val="0"/>
        <w:spacing w:before="0" w:beforeAutospacing="0" w:line="259" w:lineRule="auto"/>
        <w:rPr>
          <w:rFonts w:eastAsiaTheme="majorEastAsia" w:cstheme="majorBidi"/>
          <w:b/>
          <w:sz w:val="56"/>
          <w:szCs w:val="32"/>
          <w:highlight w:val="lightGray"/>
          <w:lang w:val="fr-CA"/>
        </w:rPr>
      </w:pPr>
      <w:r>
        <w:rPr>
          <w:highlight w:val="lightGray"/>
          <w:lang w:val="fr-CA"/>
        </w:rPr>
        <w:br w:type="page"/>
      </w:r>
    </w:p>
    <w:p w14:paraId="2D642B7C" w14:textId="2B4E71A0" w:rsidR="00F04C99" w:rsidRPr="00604C18" w:rsidRDefault="00F04C99" w:rsidP="00604C18">
      <w:pPr>
        <w:pStyle w:val="Heading1"/>
        <w:rPr>
          <w:lang w:val="fr-CA"/>
        </w:rPr>
      </w:pPr>
      <w:bookmarkStart w:id="343" w:name="_Toc219706174"/>
      <w:r w:rsidRPr="00604C18">
        <w:rPr>
          <w:lang w:val="fr-CA"/>
        </w:rPr>
        <w:lastRenderedPageBreak/>
        <w:t>Préface</w:t>
      </w:r>
      <w:bookmarkEnd w:id="343"/>
    </w:p>
    <w:p w14:paraId="5B6D2026" w14:textId="6DB961AD" w:rsidR="0002512F" w:rsidRPr="00604C18" w:rsidRDefault="000B13BD" w:rsidP="00604C18">
      <w:pPr>
        <w:rPr>
          <w:lang w:val="fr-CA"/>
        </w:rPr>
      </w:pPr>
      <w:r w:rsidRPr="00604C18">
        <w:rPr>
          <w:lang w:val="fr-CA"/>
        </w:rPr>
        <w:t>[Réservé à la publication]</w:t>
      </w:r>
      <w:r w:rsidR="0002512F" w:rsidRPr="00877353">
        <w:rPr>
          <w:lang w:val="fr-CA"/>
        </w:rPr>
        <w:br w:type="page"/>
      </w:r>
    </w:p>
    <w:p w14:paraId="602B1927" w14:textId="0C87DCA4" w:rsidR="0006514F" w:rsidRDefault="002B6C3E" w:rsidP="0006514F">
      <w:pPr>
        <w:pStyle w:val="Heading1"/>
      </w:pPr>
      <w:bookmarkStart w:id="344" w:name="_Toc211607290"/>
      <w:bookmarkStart w:id="345" w:name="_Toc211607585"/>
      <w:bookmarkStart w:id="346" w:name="_Toc219706175"/>
      <w:bookmarkEnd w:id="344"/>
      <w:bookmarkEnd w:id="345"/>
      <w:r w:rsidRPr="00B63D78">
        <w:lastRenderedPageBreak/>
        <w:t>Introduction</w:t>
      </w:r>
      <w:bookmarkEnd w:id="346"/>
    </w:p>
    <w:p w14:paraId="4A200CE9" w14:textId="0C955682" w:rsidR="00172289" w:rsidRPr="00172289" w:rsidRDefault="008E18B7" w:rsidP="00172289">
      <w:pPr>
        <w:pStyle w:val="Heading2"/>
      </w:pPr>
      <w:bookmarkStart w:id="347" w:name="_Toc219706176"/>
      <w:proofErr w:type="spellStart"/>
      <w:r>
        <w:t>Contexte</w:t>
      </w:r>
      <w:bookmarkEnd w:id="347"/>
      <w:proofErr w:type="spellEnd"/>
    </w:p>
    <w:p w14:paraId="3D27018D" w14:textId="3B57CDF3" w:rsidR="00AA79A0" w:rsidRPr="00877353" w:rsidRDefault="00AA79A0" w:rsidP="00AA79A0">
      <w:pPr>
        <w:rPr>
          <w:lang w:val="fr-CA"/>
        </w:rPr>
      </w:pPr>
      <w:r w:rsidRPr="00877353">
        <w:rPr>
          <w:lang w:val="fr-CA"/>
        </w:rPr>
        <w:t>Cette norme fournit de l</w:t>
      </w:r>
      <w:r w:rsidR="00063792">
        <w:rPr>
          <w:lang w:val="fr-CA"/>
        </w:rPr>
        <w:t>’</w:t>
      </w:r>
      <w:r w:rsidRPr="00877353">
        <w:rPr>
          <w:lang w:val="fr-CA"/>
        </w:rPr>
        <w:t xml:space="preserve">information sur des moyens plus inclusifs pour permettre à chacun de naviguer </w:t>
      </w:r>
      <w:r w:rsidR="00A97F0F" w:rsidRPr="00877353">
        <w:rPr>
          <w:lang w:val="fr-CA"/>
        </w:rPr>
        <w:t>efficacement,</w:t>
      </w:r>
      <w:r w:rsidRPr="00877353">
        <w:rPr>
          <w:lang w:val="fr-CA"/>
        </w:rPr>
        <w:t xml:space="preserve"> en toute sécurité et avec efficience dans les environnements intérieurs et extérieurs. Des panneaux et des indications de navigation se trouvent partout, mais ils ne sont pas toujours accessibles à ceux qui en ont besoin. Tout le monde au Canada a le droit d</w:t>
      </w:r>
      <w:r w:rsidR="0062518D">
        <w:rPr>
          <w:lang w:val="fr-CA"/>
        </w:rPr>
        <w:t>’</w:t>
      </w:r>
      <w:r w:rsidRPr="00877353">
        <w:rPr>
          <w:lang w:val="fr-CA"/>
        </w:rPr>
        <w:t>interagir efficacement, en toute sécurité et avec l</w:t>
      </w:r>
      <w:r w:rsidR="0062518D">
        <w:rPr>
          <w:lang w:val="fr-CA"/>
        </w:rPr>
        <w:t>’</w:t>
      </w:r>
      <w:r w:rsidRPr="00877353">
        <w:rPr>
          <w:lang w:val="fr-CA"/>
        </w:rPr>
        <w:t>efficience des environnements.</w:t>
      </w:r>
    </w:p>
    <w:p w14:paraId="1C735930" w14:textId="1EE79C1A" w:rsidR="00AA79A0" w:rsidRPr="00877353" w:rsidRDefault="00AA79A0" w:rsidP="00AA79A0">
      <w:pPr>
        <w:rPr>
          <w:lang w:val="fr-CA"/>
        </w:rPr>
      </w:pPr>
      <w:r w:rsidRPr="00877353">
        <w:rPr>
          <w:lang w:val="fr-CA"/>
        </w:rPr>
        <w:t xml:space="preserve">Bien que la norme </w:t>
      </w:r>
      <w:proofErr w:type="gramStart"/>
      <w:r w:rsidRPr="00877353">
        <w:rPr>
          <w:lang w:val="fr-CA"/>
        </w:rPr>
        <w:t>s</w:t>
      </w:r>
      <w:r w:rsidR="0062518D">
        <w:rPr>
          <w:lang w:val="fr-CA"/>
        </w:rPr>
        <w:t>’</w:t>
      </w:r>
      <w:r w:rsidRPr="00877353">
        <w:rPr>
          <w:lang w:val="fr-CA"/>
        </w:rPr>
        <w:t>appliquera</w:t>
      </w:r>
      <w:proofErr w:type="gramEnd"/>
      <w:r w:rsidRPr="00877353">
        <w:rPr>
          <w:lang w:val="fr-CA"/>
        </w:rPr>
        <w:t xml:space="preserve"> initialement uniquement aux établissements fédéraux, d</w:t>
      </w:r>
      <w:r w:rsidR="0062518D">
        <w:rPr>
          <w:lang w:val="fr-CA"/>
        </w:rPr>
        <w:t>’</w:t>
      </w:r>
      <w:r w:rsidRPr="00877353">
        <w:rPr>
          <w:lang w:val="fr-CA"/>
        </w:rPr>
        <w:t>autres juridictions seront encouragées à l</w:t>
      </w:r>
      <w:r w:rsidR="0062518D">
        <w:rPr>
          <w:lang w:val="fr-CA"/>
        </w:rPr>
        <w:t>’</w:t>
      </w:r>
      <w:r w:rsidRPr="00877353">
        <w:rPr>
          <w:lang w:val="fr-CA"/>
        </w:rPr>
        <w:t>adopter et à élaborer des règlements pour la mettre en œuvre.</w:t>
      </w:r>
    </w:p>
    <w:p w14:paraId="10314D8C" w14:textId="3E742A20" w:rsidR="00AA79A0" w:rsidRPr="00877353" w:rsidRDefault="00AA79A0" w:rsidP="00246789">
      <w:pPr>
        <w:keepLines w:val="0"/>
        <w:widowControl w:val="0"/>
        <w:rPr>
          <w:lang w:val="fr-CA"/>
        </w:rPr>
      </w:pPr>
      <w:r w:rsidRPr="00877353">
        <w:rPr>
          <w:lang w:val="fr-CA"/>
        </w:rPr>
        <w:t>La consultation et les tests par les personnes en situation de handicap sont une partie essentielle de tout ce qui est envisagé. Le comité technique comprend que différents handicaps influencent la façon dont les gens accèdent à l</w:t>
      </w:r>
      <w:r w:rsidR="0062518D">
        <w:rPr>
          <w:lang w:val="fr-CA"/>
        </w:rPr>
        <w:t>’</w:t>
      </w:r>
      <w:r w:rsidRPr="00877353">
        <w:rPr>
          <w:lang w:val="fr-CA"/>
        </w:rPr>
        <w:t>information ou comprennent les messages transmis par la signalisation et la signalisation.</w:t>
      </w:r>
    </w:p>
    <w:p w14:paraId="4E78B5CC" w14:textId="224A6BDB" w:rsidR="00AA79A0" w:rsidRPr="00877353" w:rsidRDefault="00AA79A0" w:rsidP="00246789">
      <w:pPr>
        <w:keepLines w:val="0"/>
        <w:widowControl w:val="0"/>
        <w:rPr>
          <w:lang w:val="fr-CA"/>
        </w:rPr>
      </w:pPr>
      <w:r w:rsidRPr="00877353">
        <w:rPr>
          <w:lang w:val="fr-CA"/>
        </w:rPr>
        <w:t>Lors de l</w:t>
      </w:r>
      <w:r w:rsidR="0062518D">
        <w:rPr>
          <w:lang w:val="fr-CA"/>
        </w:rPr>
        <w:t>’</w:t>
      </w:r>
      <w:r w:rsidRPr="00877353">
        <w:rPr>
          <w:lang w:val="fr-CA"/>
        </w:rPr>
        <w:t>élaboration de cette norme, le comité technique a pris en compte de nombreux facteurs, notamment l</w:t>
      </w:r>
      <w:r w:rsidR="0062518D">
        <w:rPr>
          <w:lang w:val="fr-CA"/>
        </w:rPr>
        <w:t>’</w:t>
      </w:r>
      <w:r w:rsidRPr="00877353">
        <w:rPr>
          <w:lang w:val="fr-CA"/>
        </w:rPr>
        <w:t>éclairage, le contraste des couleurs, la visibilité, les exigences tactiles et en braille, les vibrations au besoin, les informations sonores et électroniques, ainsi que le placement des indices de navigation. De plus, l</w:t>
      </w:r>
      <w:r w:rsidR="0062518D">
        <w:rPr>
          <w:lang w:val="fr-CA"/>
        </w:rPr>
        <w:t>’</w:t>
      </w:r>
      <w:r w:rsidRPr="00877353">
        <w:rPr>
          <w:lang w:val="fr-CA"/>
        </w:rPr>
        <w:t>avancement des solutions technologiques pour la signalisation et l</w:t>
      </w:r>
      <w:r w:rsidR="0062518D">
        <w:rPr>
          <w:lang w:val="fr-CA"/>
        </w:rPr>
        <w:t>’</w:t>
      </w:r>
      <w:r w:rsidRPr="00877353">
        <w:rPr>
          <w:lang w:val="fr-CA"/>
        </w:rPr>
        <w:t>orientation a été inclus dans la norme afin de permettre à ses utilisateurs de comprendre ce qui doit être pris en compte lorsqu</w:t>
      </w:r>
      <w:r w:rsidR="0062518D">
        <w:rPr>
          <w:lang w:val="fr-CA"/>
        </w:rPr>
        <w:t>’</w:t>
      </w:r>
      <w:r w:rsidRPr="00877353">
        <w:rPr>
          <w:lang w:val="fr-CA"/>
        </w:rPr>
        <w:t>ils font des choix technologiques qui peuvent bénéficier aux personnes en situation de handicap lorsqu</w:t>
      </w:r>
      <w:r w:rsidR="0062518D">
        <w:rPr>
          <w:lang w:val="fr-CA"/>
        </w:rPr>
        <w:t>’</w:t>
      </w:r>
      <w:r w:rsidRPr="00877353">
        <w:rPr>
          <w:lang w:val="fr-CA"/>
        </w:rPr>
        <w:t>elles naviguent dans des environnements intérieurs ou extérieurs. Les meilleures pratiques ont été établies pour faciliter la consultation et la prise de décision concernant l</w:t>
      </w:r>
      <w:r w:rsidR="0062518D">
        <w:rPr>
          <w:lang w:val="fr-CA"/>
        </w:rPr>
        <w:t>’</w:t>
      </w:r>
      <w:r w:rsidRPr="00877353">
        <w:rPr>
          <w:lang w:val="fr-CA"/>
        </w:rPr>
        <w:t>impact universel, l</w:t>
      </w:r>
      <w:r w:rsidR="0062518D">
        <w:rPr>
          <w:lang w:val="fr-CA"/>
        </w:rPr>
        <w:t>’</w:t>
      </w:r>
      <w:proofErr w:type="spellStart"/>
      <w:r w:rsidRPr="00877353">
        <w:rPr>
          <w:lang w:val="fr-CA"/>
        </w:rPr>
        <w:t>abordabilité</w:t>
      </w:r>
      <w:proofErr w:type="spellEnd"/>
      <w:r w:rsidRPr="00877353">
        <w:rPr>
          <w:lang w:val="fr-CA"/>
        </w:rPr>
        <w:t xml:space="preserve"> et l</w:t>
      </w:r>
      <w:r w:rsidR="0062518D">
        <w:rPr>
          <w:lang w:val="fr-CA"/>
        </w:rPr>
        <w:t>’</w:t>
      </w:r>
      <w:r w:rsidRPr="00877353">
        <w:rPr>
          <w:lang w:val="fr-CA"/>
        </w:rPr>
        <w:t xml:space="preserve">utilité des éléments inclus dans la conception des espaces </w:t>
      </w:r>
      <w:r w:rsidRPr="00877353">
        <w:rPr>
          <w:lang w:val="fr-CA"/>
        </w:rPr>
        <w:lastRenderedPageBreak/>
        <w:t>intérieurs et extérieurs.</w:t>
      </w:r>
    </w:p>
    <w:p w14:paraId="07E326F5" w14:textId="1C7239F9" w:rsidR="00AA79A0" w:rsidRPr="00877353" w:rsidRDefault="00AA79A0" w:rsidP="00AA79A0">
      <w:pPr>
        <w:rPr>
          <w:lang w:val="fr-CA"/>
        </w:rPr>
      </w:pPr>
      <w:r w:rsidRPr="00877353">
        <w:rPr>
          <w:lang w:val="fr-CA"/>
        </w:rPr>
        <w:t>Les nouvelles tendances en design urbain concernent le mode de vie centré sur la personne. L</w:t>
      </w:r>
      <w:r w:rsidR="0062518D">
        <w:rPr>
          <w:lang w:val="fr-CA"/>
        </w:rPr>
        <w:t>’</w:t>
      </w:r>
      <w:r w:rsidRPr="00877353">
        <w:rPr>
          <w:lang w:val="fr-CA"/>
        </w:rPr>
        <w:t>une d</w:t>
      </w:r>
      <w:r w:rsidR="0062518D">
        <w:rPr>
          <w:lang w:val="fr-CA"/>
        </w:rPr>
        <w:t>’</w:t>
      </w:r>
      <w:r w:rsidRPr="00877353">
        <w:rPr>
          <w:lang w:val="fr-CA"/>
        </w:rPr>
        <w:t>elles est la piétonnisation, c</w:t>
      </w:r>
      <w:r w:rsidR="0062518D">
        <w:rPr>
          <w:lang w:val="fr-CA"/>
        </w:rPr>
        <w:t>’</w:t>
      </w:r>
      <w:r w:rsidRPr="00877353">
        <w:rPr>
          <w:lang w:val="fr-CA"/>
        </w:rPr>
        <w:t>est-à-dire lorsque les quartiers ou les rues sont construits uniquement pour la circulation piétonne restreinte. Cela exige une réflexion très attentive sur les défis d</w:t>
      </w:r>
      <w:r w:rsidR="0062518D">
        <w:rPr>
          <w:lang w:val="fr-CA"/>
        </w:rPr>
        <w:t>’</w:t>
      </w:r>
      <w:r w:rsidRPr="00877353">
        <w:rPr>
          <w:lang w:val="fr-CA"/>
        </w:rPr>
        <w:t>accessibilité que cela peut involontairement créer. Nous espérons que cette norme pourra aider à naviguer dans ces changements et d</w:t>
      </w:r>
      <w:r w:rsidR="0062518D">
        <w:rPr>
          <w:lang w:val="fr-CA"/>
        </w:rPr>
        <w:t>’</w:t>
      </w:r>
      <w:r w:rsidRPr="00877353">
        <w:rPr>
          <w:lang w:val="fr-CA"/>
        </w:rPr>
        <w:t>autres.</w:t>
      </w:r>
    </w:p>
    <w:p w14:paraId="305A424C" w14:textId="11F8BABD" w:rsidR="00AA79A0" w:rsidRPr="00877353" w:rsidRDefault="00AA79A0" w:rsidP="00AA79A0">
      <w:pPr>
        <w:rPr>
          <w:lang w:val="fr-CA"/>
        </w:rPr>
      </w:pPr>
      <w:r w:rsidRPr="00877353">
        <w:rPr>
          <w:lang w:val="fr-CA"/>
        </w:rPr>
        <w:t>Bien que tous les efforts aient été faits pour présenter la norme de signalisation et de signalisation en langage clair, des exigences techniques s</w:t>
      </w:r>
      <w:r w:rsidR="0062518D">
        <w:rPr>
          <w:lang w:val="fr-CA"/>
        </w:rPr>
        <w:t>’</w:t>
      </w:r>
      <w:r w:rsidRPr="00877353">
        <w:rPr>
          <w:lang w:val="fr-CA"/>
        </w:rPr>
        <w:t>appliquent. La section des définitions de cette norme devrait aborder cette question. Les normes canadiennes et internationales existantes ainsi que d</w:t>
      </w:r>
      <w:r w:rsidR="0062518D">
        <w:rPr>
          <w:lang w:val="fr-CA"/>
        </w:rPr>
        <w:t>’</w:t>
      </w:r>
      <w:r w:rsidRPr="00877353">
        <w:rPr>
          <w:lang w:val="fr-CA"/>
        </w:rPr>
        <w:t>autres articles et documents sont référencés lorsque c</w:t>
      </w:r>
      <w:r w:rsidR="0062518D">
        <w:rPr>
          <w:lang w:val="fr-CA"/>
        </w:rPr>
        <w:t>’</w:t>
      </w:r>
      <w:r w:rsidRPr="00877353">
        <w:rPr>
          <w:lang w:val="fr-CA"/>
        </w:rPr>
        <w:t>est applicable tout au long de cette norme.</w:t>
      </w:r>
    </w:p>
    <w:p w14:paraId="11AE276B" w14:textId="3B089510" w:rsidR="00AA79A0" w:rsidRPr="00877353" w:rsidRDefault="00AE5847" w:rsidP="00AA79A0">
      <w:pPr>
        <w:rPr>
          <w:lang w:val="fr-CA"/>
        </w:rPr>
      </w:pPr>
      <w:r>
        <w:rPr>
          <w:rStyle w:val="EmphasisUseSparingly"/>
          <w:lang w:val="fr-CA"/>
        </w:rPr>
        <w:t>Remarque</w:t>
      </w:r>
      <w:r w:rsidR="00BB3D95">
        <w:rPr>
          <w:rStyle w:val="EmphasisUseSparingly"/>
          <w:lang w:val="fr-CA"/>
        </w:rPr>
        <w:t> </w:t>
      </w:r>
      <w:r w:rsidR="00AA79A0" w:rsidRPr="00877353">
        <w:rPr>
          <w:rStyle w:val="EmphasisUseSparingly"/>
          <w:lang w:val="fr-CA"/>
        </w:rPr>
        <w:t>:</w:t>
      </w:r>
      <w:r w:rsidR="00AA79A0" w:rsidRPr="00877353">
        <w:rPr>
          <w:lang w:val="fr-CA"/>
        </w:rPr>
        <w:t xml:space="preserve"> Les diagrammes tactiles, les cartes tactiles et l</w:t>
      </w:r>
      <w:r w:rsidR="0062518D">
        <w:rPr>
          <w:lang w:val="fr-CA"/>
        </w:rPr>
        <w:t>’</w:t>
      </w:r>
      <w:r w:rsidR="00AA79A0" w:rsidRPr="00877353">
        <w:rPr>
          <w:lang w:val="fr-CA"/>
        </w:rPr>
        <w:t>acoustique ne sont pas pris en compte dans le champ d</w:t>
      </w:r>
      <w:r w:rsidR="0062518D">
        <w:rPr>
          <w:lang w:val="fr-CA"/>
        </w:rPr>
        <w:t>’</w:t>
      </w:r>
      <w:r w:rsidR="00AA79A0" w:rsidRPr="00877353">
        <w:rPr>
          <w:lang w:val="fr-CA"/>
        </w:rPr>
        <w:t>application de cette norme.</w:t>
      </w:r>
    </w:p>
    <w:p w14:paraId="6F262073" w14:textId="68B31BF9" w:rsidR="00EE772D" w:rsidRDefault="00AA79A0" w:rsidP="00654128">
      <w:pPr>
        <w:rPr>
          <w:lang w:val="fr-CA"/>
        </w:rPr>
      </w:pPr>
      <w:r w:rsidRPr="00877353">
        <w:rPr>
          <w:lang w:val="fr-CA"/>
        </w:rPr>
        <w:t>Les exigences et recommandations de cette norme sont aussi inclusives que possible. Nous n</w:t>
      </w:r>
      <w:r w:rsidR="0062518D">
        <w:rPr>
          <w:lang w:val="fr-CA"/>
        </w:rPr>
        <w:t>’</w:t>
      </w:r>
      <w:r w:rsidRPr="00877353">
        <w:rPr>
          <w:lang w:val="fr-CA"/>
        </w:rPr>
        <w:t>avons aucun contrôle sur la disponibilité des matéri</w:t>
      </w:r>
      <w:r w:rsidR="00594527">
        <w:rPr>
          <w:lang w:val="fr-CA"/>
        </w:rPr>
        <w:t>els</w:t>
      </w:r>
      <w:r w:rsidRPr="00877353">
        <w:rPr>
          <w:lang w:val="fr-CA"/>
        </w:rPr>
        <w:t xml:space="preserve"> qui fonctionnent le mieux, mais nous avons essayé de fournir les conseils les plus à jour. Il devrait être clair ce qui est absolument essentiel ou préférable. L</w:t>
      </w:r>
      <w:r w:rsidR="0062518D">
        <w:rPr>
          <w:lang w:val="fr-CA"/>
        </w:rPr>
        <w:t>’</w:t>
      </w:r>
      <w:r w:rsidRPr="00877353">
        <w:rPr>
          <w:lang w:val="fr-CA"/>
        </w:rPr>
        <w:t>objectif est de fournir des informations succinctes et pertinentes afin que les concepteurs et gestionnaires de projet disposent des renseignements nécessaires pour créer des environnements plus inclusifs pour tous.</w:t>
      </w:r>
    </w:p>
    <w:p w14:paraId="37147C20" w14:textId="1E2BD3F4" w:rsidR="00B81796" w:rsidRDefault="00B81796" w:rsidP="00B81796">
      <w:pPr>
        <w:pStyle w:val="Heading2"/>
      </w:pPr>
      <w:bookmarkStart w:id="348" w:name="_Toc219706177"/>
      <w:r>
        <w:t xml:space="preserve">Principes </w:t>
      </w:r>
      <w:proofErr w:type="spellStart"/>
      <w:r>
        <w:t>directeurs</w:t>
      </w:r>
      <w:bookmarkEnd w:id="348"/>
      <w:proofErr w:type="spellEnd"/>
    </w:p>
    <w:p w14:paraId="435B4482" w14:textId="1DEC864A" w:rsidR="00061DED" w:rsidRPr="00877353" w:rsidRDefault="00061DED" w:rsidP="00061DED">
      <w:pPr>
        <w:rPr>
          <w:lang w:val="fr-CA"/>
        </w:rPr>
      </w:pPr>
      <w:r w:rsidRPr="00877353">
        <w:rPr>
          <w:lang w:val="fr-CA"/>
        </w:rPr>
        <w:t xml:space="preserve">La pratique </w:t>
      </w:r>
      <w:r w:rsidR="00770F3A" w:rsidRPr="00877353">
        <w:rPr>
          <w:lang w:val="fr-CA"/>
        </w:rPr>
        <w:t>de la conception</w:t>
      </w:r>
      <w:r w:rsidRPr="00877353">
        <w:rPr>
          <w:lang w:val="fr-CA"/>
        </w:rPr>
        <w:t xml:space="preserve"> implique plus qu</w:t>
      </w:r>
      <w:r w:rsidR="0062518D">
        <w:rPr>
          <w:lang w:val="fr-CA"/>
        </w:rPr>
        <w:t>’</w:t>
      </w:r>
      <w:r w:rsidRPr="00877353">
        <w:rPr>
          <w:lang w:val="fr-CA"/>
        </w:rPr>
        <w:t>une simple considération pour l</w:t>
      </w:r>
      <w:r w:rsidR="0062518D">
        <w:rPr>
          <w:lang w:val="fr-CA"/>
        </w:rPr>
        <w:t>’</w:t>
      </w:r>
      <w:r w:rsidRPr="00877353">
        <w:rPr>
          <w:lang w:val="fr-CA"/>
        </w:rPr>
        <w:t>utilisabilité.</w:t>
      </w:r>
    </w:p>
    <w:p w14:paraId="1F5FF7FC" w14:textId="552CAF85" w:rsidR="00061DED" w:rsidRPr="00877353" w:rsidRDefault="00061DED" w:rsidP="00061DED">
      <w:pPr>
        <w:rPr>
          <w:lang w:val="fr-CA"/>
        </w:rPr>
      </w:pPr>
      <w:r w:rsidRPr="00877353">
        <w:rPr>
          <w:lang w:val="fr-CA"/>
        </w:rPr>
        <w:lastRenderedPageBreak/>
        <w:t>Nous invitons les praticiens non seulement à inclure l</w:t>
      </w:r>
      <w:r w:rsidR="0062518D">
        <w:rPr>
          <w:lang w:val="fr-CA"/>
        </w:rPr>
        <w:t>’</w:t>
      </w:r>
      <w:r w:rsidRPr="00877353">
        <w:rPr>
          <w:lang w:val="fr-CA"/>
        </w:rPr>
        <w:t>information présentée dans cette norme, mais aussi à prendre en compte ces principes afin de créer des environnements plus inclusifs.</w:t>
      </w:r>
    </w:p>
    <w:p w14:paraId="3FB94056" w14:textId="0EBEED39" w:rsidR="00061DED" w:rsidRPr="00877353" w:rsidRDefault="00061DED" w:rsidP="00061DED">
      <w:pPr>
        <w:rPr>
          <w:lang w:val="fr-CA"/>
        </w:rPr>
      </w:pPr>
      <w:r w:rsidRPr="00877353">
        <w:rPr>
          <w:lang w:val="fr-CA"/>
        </w:rPr>
        <w:t>Dans tous les aspects de l</w:t>
      </w:r>
      <w:r w:rsidR="0062518D">
        <w:rPr>
          <w:lang w:val="fr-CA"/>
        </w:rPr>
        <w:t>’</w:t>
      </w:r>
      <w:r w:rsidRPr="00877353">
        <w:rPr>
          <w:lang w:val="fr-CA"/>
        </w:rPr>
        <w:t>orientation et de la signalisation, les principes suivants s</w:t>
      </w:r>
      <w:r w:rsidR="0062518D">
        <w:rPr>
          <w:lang w:val="fr-CA"/>
        </w:rPr>
        <w:t>’</w:t>
      </w:r>
      <w:r w:rsidRPr="00877353">
        <w:rPr>
          <w:lang w:val="fr-CA"/>
        </w:rPr>
        <w:t>appliquent</w:t>
      </w:r>
      <w:r w:rsidR="00BB3D95">
        <w:rPr>
          <w:lang w:val="fr-CA"/>
        </w:rPr>
        <w:t> </w:t>
      </w:r>
      <w:r w:rsidRPr="00877353">
        <w:rPr>
          <w:lang w:val="fr-CA"/>
        </w:rPr>
        <w:t>:</w:t>
      </w:r>
    </w:p>
    <w:p w14:paraId="40E5E927" w14:textId="2C583650" w:rsidR="00061DED" w:rsidRPr="00877353" w:rsidRDefault="00061DED" w:rsidP="00061DED">
      <w:pPr>
        <w:pStyle w:val="ListRef"/>
        <w:numPr>
          <w:ilvl w:val="0"/>
          <w:numId w:val="5"/>
        </w:numPr>
        <w:rPr>
          <w:lang w:val="fr-CA"/>
        </w:rPr>
      </w:pPr>
      <w:r w:rsidRPr="00877353">
        <w:rPr>
          <w:lang w:val="fr-CA"/>
        </w:rPr>
        <w:t>Accessibilité financière</w:t>
      </w:r>
      <w:r w:rsidR="00BB3D95">
        <w:rPr>
          <w:lang w:val="fr-CA"/>
        </w:rPr>
        <w:t> </w:t>
      </w:r>
      <w:r w:rsidRPr="00877353">
        <w:rPr>
          <w:lang w:val="fr-CA"/>
        </w:rPr>
        <w:t>: Les technologies d</w:t>
      </w:r>
      <w:r w:rsidR="0062518D">
        <w:rPr>
          <w:lang w:val="fr-CA"/>
        </w:rPr>
        <w:t>’</w:t>
      </w:r>
      <w:r w:rsidRPr="00877353">
        <w:rPr>
          <w:lang w:val="fr-CA"/>
        </w:rPr>
        <w:t xml:space="preserve">orientation et de signalisation, si elles sont utilisées, </w:t>
      </w:r>
      <w:r w:rsidR="002879D4">
        <w:rPr>
          <w:lang w:val="fr-CA"/>
        </w:rPr>
        <w:t xml:space="preserve">elles </w:t>
      </w:r>
      <w:r w:rsidR="00134103">
        <w:rPr>
          <w:lang w:val="fr-CA"/>
        </w:rPr>
        <w:t>sont</w:t>
      </w:r>
      <w:r w:rsidRPr="00877353">
        <w:rPr>
          <w:lang w:val="fr-CA"/>
        </w:rPr>
        <w:t xml:space="preserve"> accessibles sans frais supplémentaires pour les utilisateurs, y compris des frais de données supplémentaires ou des frais d</w:t>
      </w:r>
      <w:r w:rsidR="0062518D">
        <w:rPr>
          <w:lang w:val="fr-CA"/>
        </w:rPr>
        <w:t>’</w:t>
      </w:r>
      <w:r w:rsidRPr="00877353">
        <w:rPr>
          <w:lang w:val="fr-CA"/>
        </w:rPr>
        <w:t>achat de nouvelles applications (excluant les contrats personnels du consommateur).</w:t>
      </w:r>
    </w:p>
    <w:p w14:paraId="4F2E42B3" w14:textId="3FFB8DA4" w:rsidR="00061DED" w:rsidRPr="00877353" w:rsidRDefault="00061DED" w:rsidP="00061DED">
      <w:pPr>
        <w:pStyle w:val="ListRef"/>
        <w:numPr>
          <w:ilvl w:val="0"/>
          <w:numId w:val="5"/>
        </w:numPr>
        <w:rPr>
          <w:lang w:val="fr-CA"/>
        </w:rPr>
      </w:pPr>
      <w:r w:rsidRPr="00877353">
        <w:rPr>
          <w:lang w:val="fr-CA"/>
        </w:rPr>
        <w:t>Perceptibilité</w:t>
      </w:r>
      <w:r w:rsidR="00BB3D95">
        <w:rPr>
          <w:lang w:val="fr-CA"/>
        </w:rPr>
        <w:t> </w:t>
      </w:r>
      <w:r w:rsidRPr="00877353">
        <w:rPr>
          <w:lang w:val="fr-CA"/>
        </w:rPr>
        <w:t>: La signalisation et d</w:t>
      </w:r>
      <w:r w:rsidR="0062518D">
        <w:rPr>
          <w:lang w:val="fr-CA"/>
        </w:rPr>
        <w:t>’</w:t>
      </w:r>
      <w:r w:rsidRPr="00877353">
        <w:rPr>
          <w:lang w:val="fr-CA"/>
        </w:rPr>
        <w:t xml:space="preserve">autres technologies </w:t>
      </w:r>
      <w:r w:rsidR="000E0D28">
        <w:rPr>
          <w:lang w:val="fr-CA"/>
        </w:rPr>
        <w:t>so</w:t>
      </w:r>
      <w:r w:rsidRPr="00877353">
        <w:rPr>
          <w:lang w:val="fr-CA"/>
        </w:rPr>
        <w:t>nt conçues pour communiquer l</w:t>
      </w:r>
      <w:r w:rsidR="0062518D">
        <w:rPr>
          <w:lang w:val="fr-CA"/>
        </w:rPr>
        <w:t>’</w:t>
      </w:r>
      <w:r w:rsidRPr="00877353">
        <w:rPr>
          <w:lang w:val="fr-CA"/>
        </w:rPr>
        <w:t>information par plusieurs canaux sensoriels, tels que des moyens visuels, auditifs ou tactiles. L</w:t>
      </w:r>
      <w:r w:rsidR="0062518D">
        <w:rPr>
          <w:lang w:val="fr-CA"/>
        </w:rPr>
        <w:t>’</w:t>
      </w:r>
      <w:r w:rsidRPr="00877353">
        <w:rPr>
          <w:lang w:val="fr-CA"/>
        </w:rPr>
        <w:t>inclusion de la rétroaction multisensorielle permet aux personnes qui s</w:t>
      </w:r>
      <w:r w:rsidR="0062518D">
        <w:rPr>
          <w:lang w:val="fr-CA"/>
        </w:rPr>
        <w:t>’</w:t>
      </w:r>
      <w:r w:rsidRPr="00877353">
        <w:rPr>
          <w:lang w:val="fr-CA"/>
        </w:rPr>
        <w:t>appuient sur différents sens.</w:t>
      </w:r>
    </w:p>
    <w:p w14:paraId="3CC1BC72" w14:textId="7C21177E" w:rsidR="00061DED" w:rsidRPr="00877353" w:rsidRDefault="00061DED" w:rsidP="00061DED">
      <w:pPr>
        <w:pStyle w:val="ListRef"/>
        <w:numPr>
          <w:ilvl w:val="0"/>
          <w:numId w:val="5"/>
        </w:numPr>
        <w:rPr>
          <w:lang w:val="fr-CA"/>
        </w:rPr>
      </w:pPr>
      <w:r w:rsidRPr="00877353">
        <w:rPr>
          <w:lang w:val="fr-CA"/>
        </w:rPr>
        <w:t>Opérabilité</w:t>
      </w:r>
      <w:r w:rsidR="00BB3D95">
        <w:rPr>
          <w:lang w:val="fr-CA"/>
        </w:rPr>
        <w:t> </w:t>
      </w:r>
      <w:r w:rsidRPr="00877353">
        <w:rPr>
          <w:lang w:val="fr-CA"/>
        </w:rPr>
        <w:t xml:space="preserve">: Les technologies </w:t>
      </w:r>
      <w:r w:rsidR="00F95C03">
        <w:rPr>
          <w:lang w:val="fr-CA"/>
        </w:rPr>
        <w:t>son</w:t>
      </w:r>
      <w:r w:rsidRPr="00877353">
        <w:rPr>
          <w:lang w:val="fr-CA"/>
        </w:rPr>
        <w:t>t opérationnelles par tous les utilisateurs, dans des environnements intérieurs et extérieurs et en toutes conditions météorologiques.</w:t>
      </w:r>
    </w:p>
    <w:p w14:paraId="6F673F12" w14:textId="0134367A" w:rsidR="00061DED" w:rsidRPr="00877353" w:rsidRDefault="00061DED" w:rsidP="00061DED">
      <w:pPr>
        <w:pStyle w:val="ListRef"/>
        <w:numPr>
          <w:ilvl w:val="0"/>
          <w:numId w:val="5"/>
        </w:numPr>
        <w:rPr>
          <w:lang w:val="fr-CA"/>
        </w:rPr>
      </w:pPr>
      <w:r w:rsidRPr="00877353">
        <w:rPr>
          <w:lang w:val="fr-CA"/>
        </w:rPr>
        <w:t>Cohérence</w:t>
      </w:r>
      <w:r w:rsidR="00BB3D95">
        <w:rPr>
          <w:lang w:val="fr-CA"/>
        </w:rPr>
        <w:t> </w:t>
      </w:r>
      <w:r w:rsidRPr="00877353">
        <w:rPr>
          <w:lang w:val="fr-CA"/>
        </w:rPr>
        <w:t>: La conception et la mise en œuvre de l</w:t>
      </w:r>
      <w:r w:rsidR="0062518D">
        <w:rPr>
          <w:lang w:val="fr-CA"/>
        </w:rPr>
        <w:t>’</w:t>
      </w:r>
      <w:r w:rsidRPr="00877353">
        <w:rPr>
          <w:lang w:val="fr-CA"/>
        </w:rPr>
        <w:t xml:space="preserve">orientation et de la signalisation </w:t>
      </w:r>
      <w:r w:rsidR="000415DB">
        <w:rPr>
          <w:lang w:val="fr-CA"/>
        </w:rPr>
        <w:t>son</w:t>
      </w:r>
      <w:r w:rsidR="000B750A">
        <w:rPr>
          <w:lang w:val="fr-CA"/>
        </w:rPr>
        <w:t>t</w:t>
      </w:r>
      <w:r w:rsidRPr="00877353">
        <w:rPr>
          <w:lang w:val="fr-CA"/>
        </w:rPr>
        <w:t xml:space="preserve"> cohérentes afin de s</w:t>
      </w:r>
      <w:r w:rsidR="0062518D">
        <w:rPr>
          <w:lang w:val="fr-CA"/>
        </w:rPr>
        <w:t>’</w:t>
      </w:r>
      <w:r w:rsidRPr="00877353">
        <w:rPr>
          <w:lang w:val="fr-CA"/>
        </w:rPr>
        <w:t>assurer que l</w:t>
      </w:r>
      <w:r w:rsidR="0062518D">
        <w:rPr>
          <w:lang w:val="fr-CA"/>
        </w:rPr>
        <w:t>’</w:t>
      </w:r>
      <w:r w:rsidRPr="00877353">
        <w:rPr>
          <w:lang w:val="fr-CA"/>
        </w:rPr>
        <w:t>information soit présentée de façon familière, logique et intuitive.</w:t>
      </w:r>
    </w:p>
    <w:p w14:paraId="66EB97B0" w14:textId="4609F257" w:rsidR="00061DED" w:rsidRPr="00877353" w:rsidRDefault="00061DED" w:rsidP="00061DED">
      <w:pPr>
        <w:pStyle w:val="ListRef"/>
        <w:numPr>
          <w:ilvl w:val="0"/>
          <w:numId w:val="5"/>
        </w:numPr>
        <w:rPr>
          <w:lang w:val="fr-CA"/>
        </w:rPr>
      </w:pPr>
      <w:r w:rsidRPr="00877353">
        <w:rPr>
          <w:lang w:val="fr-CA"/>
        </w:rPr>
        <w:t>Utilisabilité et sécurité</w:t>
      </w:r>
      <w:r w:rsidR="00BB3D95">
        <w:rPr>
          <w:lang w:val="fr-CA"/>
        </w:rPr>
        <w:t> </w:t>
      </w:r>
      <w:r w:rsidRPr="00877353">
        <w:rPr>
          <w:lang w:val="fr-CA"/>
        </w:rPr>
        <w:t xml:space="preserve">: Toute technologie </w:t>
      </w:r>
      <w:r w:rsidR="00EA6C1F">
        <w:rPr>
          <w:lang w:val="fr-CA"/>
        </w:rPr>
        <w:t>est</w:t>
      </w:r>
      <w:r w:rsidRPr="00877353">
        <w:rPr>
          <w:lang w:val="fr-CA"/>
        </w:rPr>
        <w:t xml:space="preserve"> facile à utiliser, sécuritaire</w:t>
      </w:r>
      <w:r w:rsidR="00F14327">
        <w:rPr>
          <w:lang w:val="fr-CA"/>
        </w:rPr>
        <w:t>,</w:t>
      </w:r>
      <w:r w:rsidRPr="00877353">
        <w:rPr>
          <w:lang w:val="fr-CA"/>
        </w:rPr>
        <w:t xml:space="preserve"> et prévenir des obstacles ou des</w:t>
      </w:r>
      <w:r w:rsidR="005D73C7">
        <w:rPr>
          <w:lang w:val="fr-CA"/>
        </w:rPr>
        <w:t xml:space="preserve"> préjudices</w:t>
      </w:r>
      <w:r w:rsidRPr="00877353">
        <w:rPr>
          <w:lang w:val="fr-CA"/>
        </w:rPr>
        <w:t xml:space="preserve"> supplémentaires.</w:t>
      </w:r>
    </w:p>
    <w:p w14:paraId="77272868" w14:textId="15F3C150" w:rsidR="00061DED" w:rsidRPr="00877353" w:rsidRDefault="00061DED" w:rsidP="00061DED">
      <w:pPr>
        <w:pStyle w:val="ListRef"/>
        <w:numPr>
          <w:ilvl w:val="0"/>
          <w:numId w:val="5"/>
        </w:numPr>
        <w:rPr>
          <w:lang w:val="fr-CA"/>
        </w:rPr>
      </w:pPr>
      <w:r w:rsidRPr="00877353">
        <w:rPr>
          <w:lang w:val="fr-CA"/>
        </w:rPr>
        <w:t>Fiabilité et intégration</w:t>
      </w:r>
      <w:r w:rsidR="00BB3D95">
        <w:rPr>
          <w:lang w:val="fr-CA"/>
        </w:rPr>
        <w:t> </w:t>
      </w:r>
      <w:r w:rsidRPr="00877353">
        <w:rPr>
          <w:lang w:val="fr-CA"/>
        </w:rPr>
        <w:t xml:space="preserve">: La signalisation et toute technologie intégrée </w:t>
      </w:r>
      <w:r w:rsidR="00B3549F">
        <w:rPr>
          <w:lang w:val="fr-CA"/>
        </w:rPr>
        <w:t>sont</w:t>
      </w:r>
      <w:r w:rsidRPr="00877353">
        <w:rPr>
          <w:lang w:val="fr-CA"/>
        </w:rPr>
        <w:t xml:space="preserve"> fiables, robustes et facilement intégré</w:t>
      </w:r>
      <w:r w:rsidR="00C264E1">
        <w:rPr>
          <w:lang w:val="fr-CA"/>
        </w:rPr>
        <w:t>e</w:t>
      </w:r>
      <w:r w:rsidRPr="00877353">
        <w:rPr>
          <w:lang w:val="fr-CA"/>
        </w:rPr>
        <w:t>s sur toutes les plateformes, assurant une adéquation pour une utilisation avec des solutions adaptatives (c.-à-d.</w:t>
      </w:r>
      <w:r w:rsidR="003067EF">
        <w:rPr>
          <w:lang w:val="fr-CA"/>
        </w:rPr>
        <w:t>,</w:t>
      </w:r>
      <w:r w:rsidRPr="00877353">
        <w:rPr>
          <w:lang w:val="fr-CA"/>
        </w:rPr>
        <w:t xml:space="preserve"> applications, appareils intelligents, technologies portables).</w:t>
      </w:r>
    </w:p>
    <w:p w14:paraId="34460615" w14:textId="00C712B6" w:rsidR="00061DED" w:rsidRPr="00877353" w:rsidRDefault="00061DED" w:rsidP="00061DED">
      <w:pPr>
        <w:pStyle w:val="ListRef"/>
        <w:numPr>
          <w:ilvl w:val="0"/>
          <w:numId w:val="5"/>
        </w:numPr>
        <w:rPr>
          <w:lang w:val="fr-CA"/>
        </w:rPr>
      </w:pPr>
      <w:r w:rsidRPr="00877353">
        <w:rPr>
          <w:lang w:val="fr-CA"/>
        </w:rPr>
        <w:lastRenderedPageBreak/>
        <w:t>Formation/orientation</w:t>
      </w:r>
      <w:r w:rsidR="00BB3D95">
        <w:rPr>
          <w:lang w:val="fr-CA"/>
        </w:rPr>
        <w:t> </w:t>
      </w:r>
      <w:r w:rsidRPr="00877353">
        <w:rPr>
          <w:lang w:val="fr-CA"/>
        </w:rPr>
        <w:t xml:space="preserve">: Une formation et un soutien adéquats </w:t>
      </w:r>
      <w:r w:rsidR="00D25DA8">
        <w:rPr>
          <w:lang w:val="fr-CA"/>
        </w:rPr>
        <w:t>son</w:t>
      </w:r>
      <w:r w:rsidR="008D7C02">
        <w:rPr>
          <w:lang w:val="fr-CA"/>
        </w:rPr>
        <w:t>t</w:t>
      </w:r>
      <w:r w:rsidRPr="00877353">
        <w:rPr>
          <w:lang w:val="fr-CA"/>
        </w:rPr>
        <w:t xml:space="preserve"> offerts au personnel et aux fournisseurs de services afin d</w:t>
      </w:r>
      <w:r w:rsidR="0062518D">
        <w:rPr>
          <w:lang w:val="fr-CA"/>
        </w:rPr>
        <w:t>’</w:t>
      </w:r>
      <w:r w:rsidRPr="00877353">
        <w:rPr>
          <w:lang w:val="fr-CA"/>
        </w:rPr>
        <w:t>améliorer la capacité des utilisateurs à utiliser efficacement les fonctions de signalisation et de signalisation mises en place.</w:t>
      </w:r>
    </w:p>
    <w:p w14:paraId="7D642778" w14:textId="684D85E0" w:rsidR="00061DED" w:rsidRPr="00877353" w:rsidRDefault="00061DED" w:rsidP="00061DED">
      <w:pPr>
        <w:pStyle w:val="ListRef"/>
        <w:numPr>
          <w:ilvl w:val="0"/>
          <w:numId w:val="5"/>
        </w:numPr>
        <w:rPr>
          <w:lang w:val="fr-CA"/>
        </w:rPr>
      </w:pPr>
      <w:r w:rsidRPr="00877353">
        <w:rPr>
          <w:lang w:val="fr-CA"/>
        </w:rPr>
        <w:t xml:space="preserve">Essais et </w:t>
      </w:r>
      <w:r w:rsidR="001838C2">
        <w:rPr>
          <w:lang w:val="fr-CA"/>
        </w:rPr>
        <w:t>entretien</w:t>
      </w:r>
      <w:r w:rsidR="00BB3D95">
        <w:rPr>
          <w:lang w:val="fr-CA"/>
        </w:rPr>
        <w:t> </w:t>
      </w:r>
      <w:r w:rsidRPr="00877353">
        <w:rPr>
          <w:lang w:val="fr-CA"/>
        </w:rPr>
        <w:t>: L</w:t>
      </w:r>
      <w:r w:rsidR="0062518D">
        <w:rPr>
          <w:lang w:val="fr-CA"/>
        </w:rPr>
        <w:t>’</w:t>
      </w:r>
      <w:r w:rsidRPr="00877353">
        <w:rPr>
          <w:lang w:val="fr-CA"/>
        </w:rPr>
        <w:t xml:space="preserve">orientation et la signalisation </w:t>
      </w:r>
      <w:r w:rsidR="00665A54">
        <w:rPr>
          <w:lang w:val="fr-CA"/>
        </w:rPr>
        <w:t>sont</w:t>
      </w:r>
      <w:r w:rsidRPr="00877353">
        <w:rPr>
          <w:lang w:val="fr-CA"/>
        </w:rPr>
        <w:t xml:space="preserve"> testées par les utilisateurs prévus avant leur mise en œuvre et continuellement maintenues afin d</w:t>
      </w:r>
      <w:r w:rsidR="0062518D">
        <w:rPr>
          <w:lang w:val="fr-CA"/>
        </w:rPr>
        <w:t>’</w:t>
      </w:r>
      <w:r w:rsidRPr="00877353">
        <w:rPr>
          <w:lang w:val="fr-CA"/>
        </w:rPr>
        <w:t>assurer leur durabilité.</w:t>
      </w:r>
    </w:p>
    <w:p w14:paraId="064B309E" w14:textId="3D0CF72F" w:rsidR="00061DED" w:rsidRPr="00877353" w:rsidRDefault="00061DED" w:rsidP="00061DED">
      <w:pPr>
        <w:pStyle w:val="ListRef"/>
        <w:numPr>
          <w:ilvl w:val="0"/>
          <w:numId w:val="5"/>
        </w:numPr>
        <w:rPr>
          <w:lang w:val="fr-CA"/>
        </w:rPr>
      </w:pPr>
      <w:r w:rsidRPr="00877353">
        <w:rPr>
          <w:lang w:val="fr-CA"/>
        </w:rPr>
        <w:t>Autonomisation et indépendance</w:t>
      </w:r>
      <w:r w:rsidR="00BB3D95">
        <w:rPr>
          <w:lang w:val="fr-CA"/>
        </w:rPr>
        <w:t> </w:t>
      </w:r>
      <w:r w:rsidRPr="00877353">
        <w:rPr>
          <w:lang w:val="fr-CA"/>
        </w:rPr>
        <w:t>: L</w:t>
      </w:r>
      <w:r w:rsidR="0062518D">
        <w:rPr>
          <w:lang w:val="fr-CA"/>
        </w:rPr>
        <w:t>’</w:t>
      </w:r>
      <w:r w:rsidRPr="00877353">
        <w:rPr>
          <w:lang w:val="fr-CA"/>
        </w:rPr>
        <w:t>orientation et la signalisation, sous différentes formes, permett</w:t>
      </w:r>
      <w:r w:rsidR="003619F8">
        <w:rPr>
          <w:lang w:val="fr-CA"/>
        </w:rPr>
        <w:t>ent</w:t>
      </w:r>
      <w:r w:rsidR="00E51A92">
        <w:rPr>
          <w:lang w:val="fr-CA"/>
        </w:rPr>
        <w:t xml:space="preserve"> une </w:t>
      </w:r>
      <w:r w:rsidRPr="00877353">
        <w:rPr>
          <w:lang w:val="fr-CA"/>
        </w:rPr>
        <w:t xml:space="preserve">autonomie et une navigation indépendante, fournissant des informations opportunes, précises et claires dans plusieurs formats lorsque nécessaire. </w:t>
      </w:r>
    </w:p>
    <w:p w14:paraId="0D94C0FE" w14:textId="0ACFE8C2" w:rsidR="00061DED" w:rsidRPr="00877353" w:rsidRDefault="00061DED" w:rsidP="00061DED">
      <w:pPr>
        <w:numPr>
          <w:ilvl w:val="0"/>
          <w:numId w:val="5"/>
        </w:numPr>
        <w:rPr>
          <w:lang w:val="fr-CA"/>
        </w:rPr>
      </w:pPr>
      <w:r w:rsidRPr="00877353">
        <w:rPr>
          <w:lang w:val="fr-CA"/>
        </w:rPr>
        <w:t>Sensibilisation et éducation</w:t>
      </w:r>
      <w:r w:rsidR="00BB3D95">
        <w:rPr>
          <w:lang w:val="fr-CA"/>
        </w:rPr>
        <w:t> </w:t>
      </w:r>
      <w:r w:rsidRPr="00877353">
        <w:rPr>
          <w:lang w:val="fr-CA"/>
        </w:rPr>
        <w:t>: Les</w:t>
      </w:r>
      <w:r w:rsidR="004E1C84">
        <w:rPr>
          <w:lang w:val="fr-CA"/>
        </w:rPr>
        <w:t xml:space="preserve"> responsables de la mise en œuvre</w:t>
      </w:r>
      <w:r w:rsidRPr="00877353">
        <w:rPr>
          <w:lang w:val="fr-CA"/>
        </w:rPr>
        <w:t xml:space="preserve"> et concepteurs fourni</w:t>
      </w:r>
      <w:r w:rsidR="005F317B">
        <w:rPr>
          <w:lang w:val="fr-CA"/>
        </w:rPr>
        <w:t>ssent</w:t>
      </w:r>
      <w:r w:rsidRPr="00877353">
        <w:rPr>
          <w:lang w:val="fr-CA"/>
        </w:rPr>
        <w:t xml:space="preserve"> une sensibilisation publique continue à l</w:t>
      </w:r>
      <w:r w:rsidR="0062518D">
        <w:rPr>
          <w:lang w:val="fr-CA"/>
        </w:rPr>
        <w:t>’</w:t>
      </w:r>
      <w:r w:rsidRPr="00877353">
        <w:rPr>
          <w:lang w:val="fr-CA"/>
        </w:rPr>
        <w:t>objectif et à l</w:t>
      </w:r>
      <w:r w:rsidR="0062518D">
        <w:rPr>
          <w:lang w:val="fr-CA"/>
        </w:rPr>
        <w:t>’</w:t>
      </w:r>
      <w:r w:rsidRPr="00877353">
        <w:rPr>
          <w:lang w:val="fr-CA"/>
        </w:rPr>
        <w:t>intention de l</w:t>
      </w:r>
      <w:r w:rsidR="0062518D">
        <w:rPr>
          <w:lang w:val="fr-CA"/>
        </w:rPr>
        <w:t>’</w:t>
      </w:r>
      <w:r w:rsidRPr="00877353">
        <w:rPr>
          <w:lang w:val="fr-CA"/>
        </w:rPr>
        <w:t>orientation inclusive et de la signalisation afin que chacun comprenne leur signification et leur intention.</w:t>
      </w:r>
    </w:p>
    <w:p w14:paraId="4940B5E4" w14:textId="57FAE380" w:rsidR="00B81796" w:rsidRPr="00877353" w:rsidRDefault="00061DED" w:rsidP="00B81796">
      <w:pPr>
        <w:numPr>
          <w:ilvl w:val="0"/>
          <w:numId w:val="5"/>
        </w:numPr>
        <w:rPr>
          <w:lang w:val="fr-CA"/>
        </w:rPr>
      </w:pPr>
      <w:r w:rsidRPr="00877353">
        <w:rPr>
          <w:lang w:val="fr-CA"/>
        </w:rPr>
        <w:t>Consultation des utilisateurs</w:t>
      </w:r>
      <w:r w:rsidR="00BB3D95">
        <w:rPr>
          <w:lang w:val="fr-CA"/>
        </w:rPr>
        <w:t> </w:t>
      </w:r>
      <w:r w:rsidRPr="00877353">
        <w:rPr>
          <w:lang w:val="fr-CA"/>
        </w:rPr>
        <w:t xml:space="preserve">: Les </w:t>
      </w:r>
      <w:r w:rsidR="004E1C84">
        <w:rPr>
          <w:lang w:val="fr-CA"/>
        </w:rPr>
        <w:t>responsables de la mise en œuvre</w:t>
      </w:r>
      <w:r w:rsidRPr="00877353">
        <w:rPr>
          <w:lang w:val="fr-CA"/>
        </w:rPr>
        <w:t xml:space="preserve"> et les concepteurs consulte</w:t>
      </w:r>
      <w:r w:rsidR="00683A27">
        <w:rPr>
          <w:lang w:val="fr-CA"/>
        </w:rPr>
        <w:t>nt</w:t>
      </w:r>
      <w:r w:rsidRPr="00877353">
        <w:rPr>
          <w:lang w:val="fr-CA"/>
        </w:rPr>
        <w:t xml:space="preserve"> les groupes d</w:t>
      </w:r>
      <w:r w:rsidR="0062518D">
        <w:rPr>
          <w:lang w:val="fr-CA"/>
        </w:rPr>
        <w:t>’</w:t>
      </w:r>
      <w:r w:rsidRPr="00877353">
        <w:rPr>
          <w:lang w:val="fr-CA"/>
        </w:rPr>
        <w:t>utilisateurs lors de l</w:t>
      </w:r>
      <w:r w:rsidR="0062518D">
        <w:rPr>
          <w:lang w:val="fr-CA"/>
        </w:rPr>
        <w:t>’</w:t>
      </w:r>
      <w:r w:rsidRPr="00877353">
        <w:rPr>
          <w:lang w:val="fr-CA"/>
        </w:rPr>
        <w:t>établissement, de la détermination ou de la modification des solutions d</w:t>
      </w:r>
      <w:r w:rsidR="0062518D">
        <w:rPr>
          <w:lang w:val="fr-CA"/>
        </w:rPr>
        <w:t>’</w:t>
      </w:r>
      <w:r w:rsidRPr="00877353">
        <w:rPr>
          <w:lang w:val="fr-CA"/>
        </w:rPr>
        <w:t>orientation et de signalisation.</w:t>
      </w:r>
    </w:p>
    <w:p w14:paraId="2C909284" w14:textId="28226423" w:rsidR="00B81796" w:rsidRPr="00877353" w:rsidRDefault="00DE638E" w:rsidP="00DE638E">
      <w:pPr>
        <w:keepLines w:val="0"/>
        <w:spacing w:before="0" w:beforeAutospacing="0" w:line="259" w:lineRule="auto"/>
        <w:rPr>
          <w:lang w:val="fr-CA"/>
        </w:rPr>
      </w:pPr>
      <w:r w:rsidRPr="00877353">
        <w:rPr>
          <w:lang w:val="fr-CA"/>
        </w:rPr>
        <w:br w:type="page"/>
      </w:r>
    </w:p>
    <w:p w14:paraId="469260EA" w14:textId="77777777" w:rsidR="002B6C3E" w:rsidRDefault="002B6C3E" w:rsidP="00D201BA">
      <w:pPr>
        <w:pStyle w:val="Heading1"/>
      </w:pPr>
      <w:bookmarkStart w:id="349" w:name="_Toc219706178"/>
      <w:bookmarkStart w:id="350" w:name="_Toc108778152"/>
      <w:bookmarkStart w:id="351" w:name="_Toc108778286"/>
      <w:bookmarkStart w:id="352" w:name="_Toc154490797"/>
      <w:proofErr w:type="spellStart"/>
      <w:r>
        <w:lastRenderedPageBreak/>
        <w:t>Portée</w:t>
      </w:r>
      <w:bookmarkEnd w:id="349"/>
      <w:proofErr w:type="spellEnd"/>
    </w:p>
    <w:p w14:paraId="419C4C29" w14:textId="43300155" w:rsidR="002B6C3E" w:rsidRDefault="005D401A" w:rsidP="00C6047C">
      <w:pPr>
        <w:pStyle w:val="Heading2"/>
      </w:pPr>
      <w:bookmarkStart w:id="353" w:name="_Toc219706179"/>
      <w:bookmarkStart w:id="354" w:name="_Toc108778153"/>
      <w:bookmarkStart w:id="355" w:name="_Toc108778287"/>
      <w:bookmarkStart w:id="356" w:name="_Toc154490798"/>
      <w:bookmarkEnd w:id="350"/>
      <w:bookmarkEnd w:id="351"/>
      <w:bookmarkEnd w:id="352"/>
      <w:proofErr w:type="spellStart"/>
      <w:r>
        <w:t>Général</w:t>
      </w:r>
      <w:bookmarkEnd w:id="353"/>
      <w:proofErr w:type="spellEnd"/>
    </w:p>
    <w:p w14:paraId="146A1773" w14:textId="5E707FC7" w:rsidR="00322B3E" w:rsidRPr="00877353" w:rsidRDefault="00322B3E" w:rsidP="00322B3E">
      <w:pPr>
        <w:rPr>
          <w:lang w:val="fr-CA"/>
        </w:rPr>
      </w:pPr>
      <w:bookmarkStart w:id="357" w:name="_Hlk129103433"/>
      <w:bookmarkStart w:id="358" w:name="_Toc108778154"/>
      <w:bookmarkStart w:id="359" w:name="_Toc108778288"/>
      <w:bookmarkStart w:id="360" w:name="_Toc154490799"/>
      <w:bookmarkEnd w:id="354"/>
      <w:bookmarkEnd w:id="355"/>
      <w:bookmarkEnd w:id="356"/>
      <w:r w:rsidRPr="00877353">
        <w:rPr>
          <w:lang w:val="fr-CA"/>
        </w:rPr>
        <w:t>Cette norme fournit des exigences et des directives sur la conception, la gestion et la mise en œuvre d</w:t>
      </w:r>
      <w:r w:rsidR="0062518D">
        <w:rPr>
          <w:lang w:val="fr-CA"/>
        </w:rPr>
        <w:t>’</w:t>
      </w:r>
      <w:r w:rsidRPr="00877353">
        <w:rPr>
          <w:lang w:val="fr-CA"/>
        </w:rPr>
        <w:t>outils et de systèmes facilitant l</w:t>
      </w:r>
      <w:r w:rsidR="0062518D">
        <w:rPr>
          <w:lang w:val="fr-CA"/>
        </w:rPr>
        <w:t>’</w:t>
      </w:r>
      <w:r w:rsidRPr="00877353">
        <w:rPr>
          <w:lang w:val="fr-CA"/>
        </w:rPr>
        <w:t>orientation et l</w:t>
      </w:r>
      <w:r w:rsidR="0062518D">
        <w:rPr>
          <w:lang w:val="fr-CA"/>
        </w:rPr>
        <w:t>’</w:t>
      </w:r>
      <w:r w:rsidRPr="00877353">
        <w:rPr>
          <w:lang w:val="fr-CA"/>
        </w:rPr>
        <w:t>accès à la signalisation dans les espaces physiques. Cette norme traite également de la conception et de la mise en œuvre de la signalisation intérieure et extérieure dans le cadre d</w:t>
      </w:r>
      <w:r w:rsidR="0062518D">
        <w:rPr>
          <w:lang w:val="fr-CA"/>
        </w:rPr>
        <w:t>’</w:t>
      </w:r>
      <w:r w:rsidRPr="00877353">
        <w:rPr>
          <w:lang w:val="fr-CA"/>
        </w:rPr>
        <w:t>un système d</w:t>
      </w:r>
      <w:r w:rsidR="0062518D">
        <w:rPr>
          <w:lang w:val="fr-CA"/>
        </w:rPr>
        <w:t>’</w:t>
      </w:r>
      <w:r w:rsidRPr="00877353">
        <w:rPr>
          <w:lang w:val="fr-CA"/>
        </w:rPr>
        <w:t>orientation. À moins qu</w:t>
      </w:r>
      <w:r w:rsidR="0062518D">
        <w:rPr>
          <w:lang w:val="fr-CA"/>
        </w:rPr>
        <w:t>’</w:t>
      </w:r>
      <w:r w:rsidRPr="00877353">
        <w:rPr>
          <w:lang w:val="fr-CA"/>
        </w:rPr>
        <w:t>une clause ne soit spécifiée pour les espaces extérieurs ou intérieurs, les exigences s</w:t>
      </w:r>
      <w:r w:rsidR="0062518D">
        <w:rPr>
          <w:lang w:val="fr-CA"/>
        </w:rPr>
        <w:t>’</w:t>
      </w:r>
      <w:r w:rsidRPr="00877353">
        <w:rPr>
          <w:lang w:val="fr-CA"/>
        </w:rPr>
        <w:t>appliquent aux deux.</w:t>
      </w:r>
    </w:p>
    <w:p w14:paraId="45125471" w14:textId="19E9B433" w:rsidR="00322B3E" w:rsidRPr="00E9307F" w:rsidRDefault="00FD1807" w:rsidP="00322B3E">
      <w:r>
        <w:t xml:space="preserve">La </w:t>
      </w:r>
      <w:proofErr w:type="spellStart"/>
      <w:r>
        <w:t>pr</w:t>
      </w:r>
      <w:r>
        <w:rPr>
          <w:rFonts w:cs="Arial"/>
        </w:rPr>
        <w:t>é</w:t>
      </w:r>
      <w:r>
        <w:t>sente</w:t>
      </w:r>
      <w:proofErr w:type="spellEnd"/>
      <w:r>
        <w:t xml:space="preserve"> </w:t>
      </w:r>
      <w:proofErr w:type="spellStart"/>
      <w:proofErr w:type="gramStart"/>
      <w:r>
        <w:t>norme</w:t>
      </w:r>
      <w:proofErr w:type="spellEnd"/>
      <w:r w:rsidR="00BB3D95">
        <w:t> </w:t>
      </w:r>
      <w:r w:rsidR="00322B3E" w:rsidRPr="00E9307F">
        <w:t>:</w:t>
      </w:r>
      <w:proofErr w:type="gramEnd"/>
    </w:p>
    <w:p w14:paraId="6B3E5FB2" w14:textId="479AF5B5" w:rsidR="00322B3E" w:rsidRPr="00877353" w:rsidRDefault="00322B3E" w:rsidP="003F66F0">
      <w:pPr>
        <w:pStyle w:val="ListParagraph"/>
        <w:numPr>
          <w:ilvl w:val="0"/>
          <w:numId w:val="10"/>
        </w:numPr>
        <w:rPr>
          <w:lang w:val="fr-CA"/>
        </w:rPr>
      </w:pPr>
      <w:proofErr w:type="gramStart"/>
      <w:r w:rsidRPr="00877353">
        <w:rPr>
          <w:lang w:val="fr-CA"/>
        </w:rPr>
        <w:t>reconna</w:t>
      </w:r>
      <w:r w:rsidR="00C875E6">
        <w:rPr>
          <w:lang w:val="fr-CA"/>
        </w:rPr>
        <w:t>is</w:t>
      </w:r>
      <w:proofErr w:type="gramEnd"/>
      <w:r w:rsidRPr="00877353">
        <w:rPr>
          <w:lang w:val="fr-CA"/>
        </w:rPr>
        <w:t xml:space="preserve"> les droits à l</w:t>
      </w:r>
      <w:r w:rsidR="0062518D">
        <w:rPr>
          <w:lang w:val="fr-CA"/>
        </w:rPr>
        <w:t>’</w:t>
      </w:r>
      <w:r w:rsidRPr="00877353">
        <w:rPr>
          <w:lang w:val="fr-CA"/>
        </w:rPr>
        <w:t xml:space="preserve">équité des personnes </w:t>
      </w:r>
      <w:r w:rsidR="00FD1807">
        <w:rPr>
          <w:lang w:val="fr-CA"/>
        </w:rPr>
        <w:t>en situation de</w:t>
      </w:r>
      <w:r w:rsidR="00ED2F2D">
        <w:rPr>
          <w:lang w:val="fr-CA"/>
        </w:rPr>
        <w:t xml:space="preserve"> handicap</w:t>
      </w:r>
      <w:r w:rsidRPr="00877353">
        <w:rPr>
          <w:lang w:val="fr-CA"/>
        </w:rPr>
        <w:t xml:space="preserve"> en tant que citoyen canadien;</w:t>
      </w:r>
    </w:p>
    <w:p w14:paraId="52EA180A" w14:textId="0FFE230B" w:rsidR="00322B3E" w:rsidRPr="00877353" w:rsidRDefault="00322B3E" w:rsidP="003F66F0">
      <w:pPr>
        <w:pStyle w:val="ListParagraph"/>
        <w:numPr>
          <w:ilvl w:val="0"/>
          <w:numId w:val="10"/>
        </w:numPr>
        <w:rPr>
          <w:lang w:val="fr-CA"/>
        </w:rPr>
      </w:pPr>
      <w:proofErr w:type="gramStart"/>
      <w:r w:rsidRPr="00877353">
        <w:rPr>
          <w:lang w:val="fr-CA"/>
        </w:rPr>
        <w:t>s</w:t>
      </w:r>
      <w:r w:rsidR="0062518D">
        <w:rPr>
          <w:lang w:val="fr-CA"/>
        </w:rPr>
        <w:t>’</w:t>
      </w:r>
      <w:r w:rsidRPr="00877353">
        <w:rPr>
          <w:lang w:val="fr-CA"/>
        </w:rPr>
        <w:t>aligne</w:t>
      </w:r>
      <w:proofErr w:type="gramEnd"/>
      <w:r w:rsidRPr="00877353">
        <w:rPr>
          <w:lang w:val="fr-CA"/>
        </w:rPr>
        <w:t xml:space="preserve"> avec la </w:t>
      </w:r>
      <w:r w:rsidRPr="00ED2F2D">
        <w:rPr>
          <w:i/>
          <w:iCs/>
          <w:lang w:val="fr-CA"/>
        </w:rPr>
        <w:t>Loi sur l</w:t>
      </w:r>
      <w:r w:rsidR="0062518D">
        <w:rPr>
          <w:i/>
          <w:iCs/>
          <w:lang w:val="fr-CA"/>
        </w:rPr>
        <w:t>’</w:t>
      </w:r>
      <w:r w:rsidRPr="00ED2F2D">
        <w:rPr>
          <w:i/>
          <w:iCs/>
          <w:lang w:val="fr-CA"/>
        </w:rPr>
        <w:t>accessibilité au Canada</w:t>
      </w:r>
      <w:r w:rsidRPr="00877353">
        <w:rPr>
          <w:lang w:val="fr-CA"/>
        </w:rPr>
        <w:t>;</w:t>
      </w:r>
    </w:p>
    <w:p w14:paraId="79A91285" w14:textId="77777777" w:rsidR="00322B3E" w:rsidRPr="0062013E" w:rsidRDefault="00322B3E" w:rsidP="003F66F0">
      <w:pPr>
        <w:pStyle w:val="ListParagraph"/>
        <w:numPr>
          <w:ilvl w:val="0"/>
          <w:numId w:val="10"/>
        </w:numPr>
        <w:rPr>
          <w:lang w:val="fr-CA"/>
        </w:rPr>
      </w:pPr>
      <w:proofErr w:type="gramStart"/>
      <w:r w:rsidRPr="0062013E">
        <w:rPr>
          <w:lang w:val="fr-CA"/>
        </w:rPr>
        <w:t>considère</w:t>
      </w:r>
      <w:proofErr w:type="gramEnd"/>
      <w:r w:rsidRPr="0062013E">
        <w:rPr>
          <w:lang w:val="fr-CA"/>
        </w:rPr>
        <w:t xml:space="preserve"> les principes directeurs; et</w:t>
      </w:r>
    </w:p>
    <w:p w14:paraId="66385ED1" w14:textId="3E3D3F87" w:rsidR="00322B3E" w:rsidRPr="00877353" w:rsidRDefault="00322B3E" w:rsidP="003F66F0">
      <w:pPr>
        <w:pStyle w:val="ListParagraph"/>
        <w:numPr>
          <w:ilvl w:val="0"/>
          <w:numId w:val="10"/>
        </w:numPr>
        <w:rPr>
          <w:lang w:val="fr-CA"/>
        </w:rPr>
      </w:pPr>
      <w:proofErr w:type="gramStart"/>
      <w:r w:rsidRPr="00877353">
        <w:rPr>
          <w:lang w:val="fr-CA"/>
        </w:rPr>
        <w:t>complète</w:t>
      </w:r>
      <w:proofErr w:type="gramEnd"/>
      <w:r w:rsidRPr="00877353">
        <w:rPr>
          <w:lang w:val="fr-CA"/>
        </w:rPr>
        <w:t xml:space="preserve"> d</w:t>
      </w:r>
      <w:r w:rsidR="0062518D">
        <w:rPr>
          <w:lang w:val="fr-CA"/>
        </w:rPr>
        <w:t>’</w:t>
      </w:r>
      <w:r w:rsidRPr="00877353">
        <w:rPr>
          <w:lang w:val="fr-CA"/>
        </w:rPr>
        <w:t>autres codes et normes liés à l</w:t>
      </w:r>
      <w:r w:rsidR="0062518D">
        <w:rPr>
          <w:lang w:val="fr-CA"/>
        </w:rPr>
        <w:t>’</w:t>
      </w:r>
      <w:r w:rsidRPr="00877353">
        <w:rPr>
          <w:lang w:val="fr-CA"/>
        </w:rPr>
        <w:t>accessibilité de l</w:t>
      </w:r>
      <w:r w:rsidR="0062518D">
        <w:rPr>
          <w:lang w:val="fr-CA"/>
        </w:rPr>
        <w:t>’</w:t>
      </w:r>
      <w:r w:rsidRPr="00877353">
        <w:rPr>
          <w:lang w:val="fr-CA"/>
        </w:rPr>
        <w:t>environnement bâti.</w:t>
      </w:r>
    </w:p>
    <w:p w14:paraId="1B9A6459" w14:textId="432F1ECE" w:rsidR="00322B3E" w:rsidRPr="00877353" w:rsidRDefault="00322B3E" w:rsidP="00322B3E">
      <w:pPr>
        <w:rPr>
          <w:lang w:val="fr-CA"/>
        </w:rPr>
      </w:pPr>
      <w:r w:rsidRPr="00877353">
        <w:rPr>
          <w:lang w:val="fr-CA"/>
        </w:rPr>
        <w:t xml:space="preserve">Cette norme identifie des moyens de prévenir les obstacles pour </w:t>
      </w:r>
      <w:r w:rsidR="000479EA" w:rsidRPr="00877353">
        <w:rPr>
          <w:lang w:val="fr-CA"/>
        </w:rPr>
        <w:t xml:space="preserve">les personnes </w:t>
      </w:r>
      <w:r w:rsidRPr="00877353">
        <w:rPr>
          <w:lang w:val="fr-CA"/>
        </w:rPr>
        <w:t>en situation de handicap, tant aujourd</w:t>
      </w:r>
      <w:r w:rsidR="0062518D">
        <w:rPr>
          <w:lang w:val="fr-CA"/>
        </w:rPr>
        <w:t>’</w:t>
      </w:r>
      <w:r w:rsidRPr="00877353">
        <w:rPr>
          <w:lang w:val="fr-CA"/>
        </w:rPr>
        <w:t>hui qu</w:t>
      </w:r>
      <w:r w:rsidR="0062518D">
        <w:rPr>
          <w:lang w:val="fr-CA"/>
        </w:rPr>
        <w:t>’</w:t>
      </w:r>
      <w:r w:rsidRPr="00877353">
        <w:rPr>
          <w:lang w:val="fr-CA"/>
        </w:rPr>
        <w:t>à l</w:t>
      </w:r>
      <w:r w:rsidR="0062518D">
        <w:rPr>
          <w:lang w:val="fr-CA"/>
        </w:rPr>
        <w:t>’</w:t>
      </w:r>
      <w:r w:rsidRPr="00877353">
        <w:rPr>
          <w:lang w:val="fr-CA"/>
        </w:rPr>
        <w:t>avenir.</w:t>
      </w:r>
    </w:p>
    <w:bookmarkEnd w:id="357"/>
    <w:p w14:paraId="0D087DCE" w14:textId="418BCEB4" w:rsidR="00CB7C6B" w:rsidRDefault="00322B3E" w:rsidP="00322B3E">
      <w:pPr>
        <w:rPr>
          <w:lang w:val="fr-CA"/>
        </w:rPr>
      </w:pPr>
      <w:r w:rsidRPr="00877353">
        <w:rPr>
          <w:lang w:val="fr-CA"/>
        </w:rPr>
        <w:t>Cette norme met l</w:t>
      </w:r>
      <w:r w:rsidR="0062518D">
        <w:rPr>
          <w:lang w:val="fr-CA"/>
        </w:rPr>
        <w:t>’</w:t>
      </w:r>
      <w:r w:rsidRPr="00877353">
        <w:rPr>
          <w:lang w:val="fr-CA"/>
        </w:rPr>
        <w:t>accent sur la mise en œuvre de multiples solutions (p</w:t>
      </w:r>
      <w:r w:rsidR="00A0283C">
        <w:rPr>
          <w:lang w:val="fr-CA"/>
        </w:rPr>
        <w:t xml:space="preserve">.ex., </w:t>
      </w:r>
      <w:r w:rsidRPr="00877353">
        <w:rPr>
          <w:lang w:val="fr-CA"/>
        </w:rPr>
        <w:t>vue, son, tactile</w:t>
      </w:r>
      <w:r w:rsidR="00F9357D">
        <w:rPr>
          <w:lang w:val="fr-CA"/>
        </w:rPr>
        <w:t>,</w:t>
      </w:r>
      <w:r w:rsidRPr="00877353">
        <w:rPr>
          <w:lang w:val="fr-CA"/>
        </w:rPr>
        <w:t xml:space="preserve"> et technologie) afin d</w:t>
      </w:r>
      <w:r w:rsidR="0062518D">
        <w:rPr>
          <w:lang w:val="fr-CA"/>
        </w:rPr>
        <w:t>’</w:t>
      </w:r>
      <w:r w:rsidRPr="00877353">
        <w:rPr>
          <w:lang w:val="fr-CA"/>
        </w:rPr>
        <w:t>offrir aux individus une variété d</w:t>
      </w:r>
      <w:r w:rsidR="0062518D">
        <w:rPr>
          <w:lang w:val="fr-CA"/>
        </w:rPr>
        <w:t>’</w:t>
      </w:r>
      <w:r w:rsidRPr="00877353">
        <w:rPr>
          <w:lang w:val="fr-CA"/>
        </w:rPr>
        <w:t>options pour répondre à leurs besoins et faciliter la navigation indépendante.</w:t>
      </w:r>
    </w:p>
    <w:p w14:paraId="2DBBC77C" w14:textId="0999B87B" w:rsidR="00322B3E" w:rsidRPr="00877353" w:rsidRDefault="00CB7C6B" w:rsidP="00CB7C6B">
      <w:pPr>
        <w:keepLines w:val="0"/>
        <w:spacing w:before="0" w:beforeAutospacing="0" w:line="259" w:lineRule="auto"/>
        <w:rPr>
          <w:lang w:val="fr-CA"/>
        </w:rPr>
      </w:pPr>
      <w:r>
        <w:rPr>
          <w:lang w:val="fr-CA"/>
        </w:rPr>
        <w:br w:type="page"/>
      </w:r>
    </w:p>
    <w:p w14:paraId="60E9F532" w14:textId="2E627E45" w:rsidR="002B6C3E" w:rsidRDefault="00325783" w:rsidP="00C6047C">
      <w:pPr>
        <w:pStyle w:val="Heading2"/>
      </w:pPr>
      <w:bookmarkStart w:id="361" w:name="_Toc219706180"/>
      <w:r>
        <w:lastRenderedPageBreak/>
        <w:t>Inclusions</w:t>
      </w:r>
      <w:bookmarkEnd w:id="361"/>
    </w:p>
    <w:p w14:paraId="580D21E1" w14:textId="2716AAB0" w:rsidR="008D694F" w:rsidRPr="00877353" w:rsidRDefault="008D694F" w:rsidP="008D694F">
      <w:pPr>
        <w:rPr>
          <w:lang w:val="fr-CA"/>
        </w:rPr>
      </w:pPr>
      <w:bookmarkStart w:id="362" w:name="_Toc154490800"/>
      <w:bookmarkEnd w:id="358"/>
      <w:bookmarkEnd w:id="359"/>
      <w:bookmarkEnd w:id="360"/>
      <w:r w:rsidRPr="00877353">
        <w:rPr>
          <w:lang w:val="fr-CA"/>
        </w:rPr>
        <w:t>Les sujets suivants sont couverts dans cette norme</w:t>
      </w:r>
      <w:r w:rsidR="00BB3D95">
        <w:rPr>
          <w:lang w:val="fr-CA"/>
        </w:rPr>
        <w:t> </w:t>
      </w:r>
      <w:r w:rsidRPr="00877353">
        <w:rPr>
          <w:lang w:val="fr-CA"/>
        </w:rPr>
        <w:t>:</w:t>
      </w:r>
    </w:p>
    <w:p w14:paraId="0AD99CBE" w14:textId="23FA0564" w:rsidR="008D694F" w:rsidRPr="00877353" w:rsidRDefault="008D694F" w:rsidP="003F66F0">
      <w:pPr>
        <w:pStyle w:val="ListParagraph"/>
        <w:numPr>
          <w:ilvl w:val="0"/>
          <w:numId w:val="9"/>
        </w:numPr>
        <w:rPr>
          <w:lang w:val="fr-CA"/>
        </w:rPr>
      </w:pPr>
      <w:r w:rsidRPr="00877353">
        <w:rPr>
          <w:lang w:val="fr-CA"/>
        </w:rPr>
        <w:t>Principes pour l</w:t>
      </w:r>
      <w:r w:rsidR="0062518D">
        <w:rPr>
          <w:lang w:val="fr-CA"/>
        </w:rPr>
        <w:t>’</w:t>
      </w:r>
      <w:r w:rsidRPr="00877353">
        <w:rPr>
          <w:lang w:val="fr-CA"/>
        </w:rPr>
        <w:t>application des technologies nouvelles et émergentes</w:t>
      </w:r>
    </w:p>
    <w:p w14:paraId="595EDCFE" w14:textId="77777777" w:rsidR="008D694F" w:rsidRPr="00E95783" w:rsidRDefault="008D694F" w:rsidP="003F66F0">
      <w:pPr>
        <w:pStyle w:val="ListParagraph"/>
        <w:numPr>
          <w:ilvl w:val="0"/>
          <w:numId w:val="9"/>
        </w:numPr>
      </w:pPr>
      <w:r w:rsidRPr="00E95783">
        <w:t>Indices de signalisation</w:t>
      </w:r>
    </w:p>
    <w:p w14:paraId="4E438479" w14:textId="23762A45" w:rsidR="0062013E" w:rsidRDefault="006A32F9" w:rsidP="003F66F0">
      <w:pPr>
        <w:pStyle w:val="ListParagraph"/>
        <w:numPr>
          <w:ilvl w:val="0"/>
          <w:numId w:val="9"/>
        </w:numPr>
        <w:rPr>
          <w:lang w:val="fr-CA"/>
        </w:rPr>
      </w:pPr>
      <w:r>
        <w:rPr>
          <w:lang w:val="fr-CA"/>
        </w:rPr>
        <w:t>Indicateur tactile de surface de marche</w:t>
      </w:r>
      <w:r w:rsidR="007232C1">
        <w:rPr>
          <w:lang w:val="fr-CA"/>
        </w:rPr>
        <w:t xml:space="preserve"> (ITSM)</w:t>
      </w:r>
    </w:p>
    <w:p w14:paraId="7A8BFDC8" w14:textId="77777777" w:rsidR="00A905D2" w:rsidRDefault="00525C49" w:rsidP="003F66F0">
      <w:pPr>
        <w:pStyle w:val="ListParagraph"/>
        <w:numPr>
          <w:ilvl w:val="0"/>
          <w:numId w:val="9"/>
        </w:numPr>
      </w:pPr>
      <w:r>
        <w:t xml:space="preserve">Voie de circulation </w:t>
      </w:r>
    </w:p>
    <w:p w14:paraId="658E4244" w14:textId="6F57134A" w:rsidR="008D694F" w:rsidRPr="00E95783" w:rsidRDefault="008D694F" w:rsidP="003F66F0">
      <w:pPr>
        <w:pStyle w:val="ListParagraph"/>
        <w:numPr>
          <w:ilvl w:val="0"/>
          <w:numId w:val="9"/>
        </w:numPr>
      </w:pPr>
      <w:proofErr w:type="spellStart"/>
      <w:r w:rsidRPr="00E95783">
        <w:t>Éclairage</w:t>
      </w:r>
      <w:proofErr w:type="spellEnd"/>
    </w:p>
    <w:p w14:paraId="1D910957" w14:textId="77777777" w:rsidR="008D694F" w:rsidRPr="00E95783" w:rsidRDefault="008D694F" w:rsidP="003F66F0">
      <w:pPr>
        <w:pStyle w:val="ListParagraph"/>
        <w:numPr>
          <w:ilvl w:val="0"/>
          <w:numId w:val="9"/>
        </w:numPr>
      </w:pPr>
      <w:proofErr w:type="spellStart"/>
      <w:r w:rsidRPr="00E95783">
        <w:t>Contraste</w:t>
      </w:r>
      <w:proofErr w:type="spellEnd"/>
      <w:r w:rsidRPr="00E95783">
        <w:t xml:space="preserve"> des couleurs</w:t>
      </w:r>
    </w:p>
    <w:p w14:paraId="602011E4" w14:textId="77777777" w:rsidR="008D694F" w:rsidRPr="00E95783" w:rsidRDefault="008D694F" w:rsidP="003F66F0">
      <w:pPr>
        <w:pStyle w:val="ListParagraph"/>
        <w:numPr>
          <w:ilvl w:val="0"/>
          <w:numId w:val="9"/>
        </w:numPr>
      </w:pPr>
      <w:r w:rsidRPr="00E95783">
        <w:t>Signalisation</w:t>
      </w:r>
    </w:p>
    <w:p w14:paraId="495B3603" w14:textId="77777777" w:rsidR="008D694F" w:rsidRPr="00E95783" w:rsidRDefault="008D694F" w:rsidP="003F66F0">
      <w:pPr>
        <w:pStyle w:val="ListParagraph"/>
        <w:numPr>
          <w:ilvl w:val="0"/>
          <w:numId w:val="9"/>
        </w:numPr>
      </w:pPr>
      <w:r w:rsidRPr="00E95783">
        <w:t>Signalisation tactile</w:t>
      </w:r>
    </w:p>
    <w:p w14:paraId="4B33F74B" w14:textId="77777777" w:rsidR="008D694F" w:rsidRPr="00E95783" w:rsidRDefault="008D694F" w:rsidP="003F66F0">
      <w:pPr>
        <w:pStyle w:val="ListParagraph"/>
        <w:numPr>
          <w:ilvl w:val="0"/>
          <w:numId w:val="9"/>
        </w:numPr>
      </w:pPr>
      <w:r w:rsidRPr="00E95783">
        <w:t>Braille</w:t>
      </w:r>
    </w:p>
    <w:p w14:paraId="23A2C8CC" w14:textId="587E4AFB" w:rsidR="008D694F" w:rsidRPr="00E95783" w:rsidRDefault="008D694F" w:rsidP="003F66F0">
      <w:pPr>
        <w:pStyle w:val="ListParagraph"/>
        <w:numPr>
          <w:ilvl w:val="0"/>
          <w:numId w:val="9"/>
        </w:numPr>
      </w:pPr>
      <w:proofErr w:type="spellStart"/>
      <w:r w:rsidRPr="00E95783">
        <w:t>Pictogrammes</w:t>
      </w:r>
      <w:proofErr w:type="spellEnd"/>
      <w:r w:rsidRPr="00E95783">
        <w:t xml:space="preserve"> </w:t>
      </w:r>
      <w:r w:rsidR="005066A1">
        <w:t xml:space="preserve">et </w:t>
      </w:r>
      <w:proofErr w:type="spellStart"/>
      <w:r w:rsidR="00FD00D8">
        <w:t>s</w:t>
      </w:r>
      <w:r w:rsidRPr="00E95783">
        <w:t>ymboles</w:t>
      </w:r>
      <w:proofErr w:type="spellEnd"/>
    </w:p>
    <w:p w14:paraId="36FDF7B4" w14:textId="63B5F2E9" w:rsidR="008D694F" w:rsidRPr="00E95783" w:rsidRDefault="005229F8" w:rsidP="003F66F0">
      <w:pPr>
        <w:pStyle w:val="ListParagraph"/>
        <w:numPr>
          <w:ilvl w:val="0"/>
          <w:numId w:val="9"/>
        </w:numPr>
      </w:pPr>
      <w:proofErr w:type="spellStart"/>
      <w:r>
        <w:t>Dispositifs</w:t>
      </w:r>
      <w:proofErr w:type="spellEnd"/>
      <w:r>
        <w:t xml:space="preserve"> de signalisation</w:t>
      </w:r>
      <w:r w:rsidR="008D694F" w:rsidRPr="00E95783">
        <w:t xml:space="preserve"> </w:t>
      </w:r>
      <w:proofErr w:type="spellStart"/>
      <w:r w:rsidR="008D694F" w:rsidRPr="00E95783">
        <w:t>sonores</w:t>
      </w:r>
      <w:proofErr w:type="spellEnd"/>
    </w:p>
    <w:p w14:paraId="481473B4" w14:textId="77777777" w:rsidR="008D694F" w:rsidRDefault="008D694F" w:rsidP="003F66F0">
      <w:pPr>
        <w:pStyle w:val="ListParagraph"/>
        <w:numPr>
          <w:ilvl w:val="0"/>
          <w:numId w:val="9"/>
        </w:numPr>
      </w:pPr>
      <w:proofErr w:type="spellStart"/>
      <w:r w:rsidRPr="00E95783">
        <w:t>Panneaux</w:t>
      </w:r>
      <w:proofErr w:type="spellEnd"/>
      <w:r w:rsidRPr="00E95783">
        <w:t xml:space="preserve"> </w:t>
      </w:r>
      <w:proofErr w:type="spellStart"/>
      <w:r w:rsidRPr="00E95783">
        <w:t>électroniques</w:t>
      </w:r>
      <w:proofErr w:type="spellEnd"/>
    </w:p>
    <w:p w14:paraId="53A7ACE3" w14:textId="77777777" w:rsidR="008D694F" w:rsidRPr="00E95783" w:rsidRDefault="008D694F" w:rsidP="003F66F0">
      <w:pPr>
        <w:pStyle w:val="ListParagraph"/>
        <w:numPr>
          <w:ilvl w:val="0"/>
          <w:numId w:val="9"/>
        </w:numPr>
      </w:pPr>
      <w:r>
        <w:t>Cartes (non tactiles)</w:t>
      </w:r>
    </w:p>
    <w:p w14:paraId="62A05AE7" w14:textId="77777777" w:rsidR="008D694F" w:rsidRPr="00E95783" w:rsidRDefault="008D694F" w:rsidP="003F66F0">
      <w:pPr>
        <w:pStyle w:val="ListParagraph"/>
        <w:numPr>
          <w:ilvl w:val="0"/>
          <w:numId w:val="9"/>
        </w:numPr>
      </w:pPr>
      <w:r w:rsidRPr="00E95783">
        <w:t xml:space="preserve">Solutions </w:t>
      </w:r>
      <w:proofErr w:type="spellStart"/>
      <w:r w:rsidRPr="00E95783">
        <w:t>technologiques</w:t>
      </w:r>
      <w:proofErr w:type="spellEnd"/>
    </w:p>
    <w:p w14:paraId="1765FB3F" w14:textId="23889528" w:rsidR="002B6C3E" w:rsidRDefault="00E625BC" w:rsidP="00C6047C">
      <w:pPr>
        <w:pStyle w:val="Heading2"/>
      </w:pPr>
      <w:bookmarkStart w:id="363" w:name="_Toc219706181"/>
      <w:r>
        <w:t>Exclusions</w:t>
      </w:r>
      <w:bookmarkEnd w:id="363"/>
    </w:p>
    <w:p w14:paraId="6E9382E7" w14:textId="0CCC175E" w:rsidR="00626D82" w:rsidRPr="00877353" w:rsidRDefault="00626D82" w:rsidP="00626D82">
      <w:pPr>
        <w:rPr>
          <w:lang w:val="fr-CA"/>
        </w:rPr>
      </w:pPr>
      <w:bookmarkStart w:id="364" w:name="_Toc154490801"/>
      <w:bookmarkEnd w:id="362"/>
      <w:r w:rsidRPr="00877353">
        <w:rPr>
          <w:lang w:val="fr-CA"/>
        </w:rPr>
        <w:t>Les sujets suivants ne sont pas couverts par cette norme</w:t>
      </w:r>
      <w:r w:rsidR="00BB3D95">
        <w:rPr>
          <w:lang w:val="fr-CA"/>
        </w:rPr>
        <w:t> </w:t>
      </w:r>
      <w:r w:rsidRPr="00877353">
        <w:rPr>
          <w:lang w:val="fr-CA"/>
        </w:rPr>
        <w:t>:</w:t>
      </w:r>
    </w:p>
    <w:p w14:paraId="037312D2" w14:textId="488C2D9E" w:rsidR="00A308F2" w:rsidRDefault="00626D82" w:rsidP="003F66F0">
      <w:pPr>
        <w:pStyle w:val="ListParagraph"/>
        <w:numPr>
          <w:ilvl w:val="0"/>
          <w:numId w:val="8"/>
        </w:numPr>
      </w:pPr>
      <w:bookmarkStart w:id="365" w:name="_Hlk129102088"/>
      <w:r w:rsidRPr="006F6506">
        <w:t>Cartes tactiles</w:t>
      </w:r>
      <w:r w:rsidR="0041717C">
        <w:t xml:space="preserve"> </w:t>
      </w:r>
      <w:r w:rsidR="00E125F2">
        <w:t xml:space="preserve">et </w:t>
      </w:r>
      <w:proofErr w:type="spellStart"/>
      <w:r w:rsidR="00AE5847">
        <w:t>d</w:t>
      </w:r>
      <w:r w:rsidRPr="006F6506">
        <w:t>iagrammes</w:t>
      </w:r>
      <w:proofErr w:type="spellEnd"/>
    </w:p>
    <w:p w14:paraId="431B94E7" w14:textId="4DDDF798" w:rsidR="00626D82" w:rsidRPr="00AE5847" w:rsidRDefault="00AE5847" w:rsidP="00877353">
      <w:pPr>
        <w:pStyle w:val="ListParagraph"/>
        <w:ind w:left="1066"/>
        <w:rPr>
          <w:lang w:val="fr-CA"/>
        </w:rPr>
      </w:pPr>
      <w:r w:rsidRPr="00AE5847">
        <w:rPr>
          <w:rStyle w:val="EmphasisUseSparingly"/>
          <w:lang w:val="fr-CA"/>
        </w:rPr>
        <w:lastRenderedPageBreak/>
        <w:t>Re</w:t>
      </w:r>
      <w:r>
        <w:rPr>
          <w:rStyle w:val="EmphasisUseSparingly"/>
          <w:lang w:val="fr-CA"/>
        </w:rPr>
        <w:t>marque</w:t>
      </w:r>
      <w:r w:rsidR="00BB3D95">
        <w:rPr>
          <w:rStyle w:val="EmphasisUseSparingly"/>
          <w:lang w:val="fr-CA"/>
        </w:rPr>
        <w:t> </w:t>
      </w:r>
      <w:r w:rsidR="00626D82" w:rsidRPr="00877353">
        <w:rPr>
          <w:rStyle w:val="EmphasisUseSparingly"/>
          <w:lang w:val="fr-CA"/>
        </w:rPr>
        <w:t xml:space="preserve">: </w:t>
      </w:r>
      <w:r w:rsidR="00626D82" w:rsidRPr="00877353">
        <w:rPr>
          <w:lang w:val="fr-CA"/>
        </w:rPr>
        <w:t>Ces éléments ne sont pas inclus dans cette norme pour le moment, car une revue de la littérature et des normes a indiqué un manque de cohérence dans l</w:t>
      </w:r>
      <w:r w:rsidR="0062518D">
        <w:rPr>
          <w:lang w:val="fr-CA"/>
        </w:rPr>
        <w:t>’</w:t>
      </w:r>
      <w:r w:rsidR="00626D82" w:rsidRPr="00877353">
        <w:rPr>
          <w:lang w:val="fr-CA"/>
        </w:rPr>
        <w:t>approche et l</w:t>
      </w:r>
      <w:r w:rsidR="0062518D">
        <w:rPr>
          <w:lang w:val="fr-CA"/>
        </w:rPr>
        <w:t>’</w:t>
      </w:r>
      <w:r w:rsidR="00626D82" w:rsidRPr="00877353">
        <w:rPr>
          <w:lang w:val="fr-CA"/>
        </w:rPr>
        <w:t xml:space="preserve">application de ces outils. </w:t>
      </w:r>
      <w:r w:rsidR="00626D82" w:rsidRPr="00AE5847">
        <w:rPr>
          <w:lang w:val="fr-CA"/>
        </w:rPr>
        <w:t>Il faut réfléchir davantage.</w:t>
      </w:r>
    </w:p>
    <w:bookmarkEnd w:id="365"/>
    <w:p w14:paraId="3E9B16C8" w14:textId="51E3D454" w:rsidR="00D37907" w:rsidRPr="006F6506" w:rsidRDefault="00626D82" w:rsidP="003F66F0">
      <w:pPr>
        <w:pStyle w:val="ListParagraph"/>
        <w:numPr>
          <w:ilvl w:val="0"/>
          <w:numId w:val="8"/>
        </w:numPr>
      </w:pPr>
      <w:proofErr w:type="spellStart"/>
      <w:r w:rsidRPr="006F6506">
        <w:t>Acoustique</w:t>
      </w:r>
      <w:proofErr w:type="spellEnd"/>
    </w:p>
    <w:p w14:paraId="010E66DE" w14:textId="35FFE16A" w:rsidR="00626D82" w:rsidRPr="00877353" w:rsidRDefault="00AE5847" w:rsidP="00877353">
      <w:pPr>
        <w:pStyle w:val="ListParagraph"/>
        <w:ind w:left="1066"/>
        <w:rPr>
          <w:lang w:val="fr-CA"/>
        </w:rPr>
      </w:pPr>
      <w:r w:rsidRPr="00AE5847">
        <w:rPr>
          <w:rStyle w:val="EmphasisUseSparingly"/>
          <w:lang w:val="fr-CA"/>
        </w:rPr>
        <w:t>Re</w:t>
      </w:r>
      <w:r>
        <w:rPr>
          <w:rStyle w:val="EmphasisUseSparingly"/>
          <w:lang w:val="fr-CA"/>
        </w:rPr>
        <w:t>marque</w:t>
      </w:r>
      <w:r w:rsidR="00BB3D95">
        <w:rPr>
          <w:rStyle w:val="EmphasisUseSparingly"/>
          <w:lang w:val="fr-CA"/>
        </w:rPr>
        <w:t> </w:t>
      </w:r>
      <w:r w:rsidR="00626D82" w:rsidRPr="00877353">
        <w:rPr>
          <w:rStyle w:val="EmphasisUseSparingly"/>
          <w:lang w:val="fr-CA"/>
        </w:rPr>
        <w:t>:</w:t>
      </w:r>
      <w:r w:rsidR="00626D82" w:rsidRPr="00410516">
        <w:rPr>
          <w:rStyle w:val="EmphasisUseSparingly"/>
          <w:lang w:val="fr-CA"/>
        </w:rPr>
        <w:t xml:space="preserve"> </w:t>
      </w:r>
      <w:r w:rsidR="00E125F2" w:rsidRPr="00410516">
        <w:rPr>
          <w:rStyle w:val="EmphasisUseSparingly"/>
          <w:b w:val="0"/>
          <w:bCs/>
          <w:lang w:val="fr-CA"/>
        </w:rPr>
        <w:t>I</w:t>
      </w:r>
      <w:r w:rsidR="00626D82" w:rsidRPr="00410516">
        <w:rPr>
          <w:lang w:val="fr-CA"/>
        </w:rPr>
        <w:t>l</w:t>
      </w:r>
      <w:r w:rsidR="00626D82" w:rsidRPr="00877353">
        <w:rPr>
          <w:lang w:val="fr-CA"/>
        </w:rPr>
        <w:t xml:space="preserve"> s</w:t>
      </w:r>
      <w:r w:rsidR="0062518D">
        <w:rPr>
          <w:lang w:val="fr-CA"/>
        </w:rPr>
        <w:t>’</w:t>
      </w:r>
      <w:r w:rsidR="00626D82" w:rsidRPr="00877353">
        <w:rPr>
          <w:lang w:val="fr-CA"/>
        </w:rPr>
        <w:t>agira d</w:t>
      </w:r>
      <w:r w:rsidR="0062518D">
        <w:rPr>
          <w:lang w:val="fr-CA"/>
        </w:rPr>
        <w:t>’</w:t>
      </w:r>
      <w:r w:rsidR="00626D82" w:rsidRPr="00877353">
        <w:rPr>
          <w:lang w:val="fr-CA"/>
        </w:rPr>
        <w:t>une norme distincte</w:t>
      </w:r>
      <w:r w:rsidR="00BB3D95">
        <w:rPr>
          <w:lang w:val="fr-CA"/>
        </w:rPr>
        <w:t> </w:t>
      </w:r>
      <w:r w:rsidR="00626D82" w:rsidRPr="00877353">
        <w:rPr>
          <w:lang w:val="fr-CA"/>
        </w:rPr>
        <w:t xml:space="preserve">: </w:t>
      </w:r>
      <w:r w:rsidR="00FB7FEF">
        <w:rPr>
          <w:lang w:val="fr-CA"/>
        </w:rPr>
        <w:t>CAN-ASC-2.5/ICC A118 l’acoustique dans l’environnement bâti</w:t>
      </w:r>
      <w:r w:rsidR="00626D82" w:rsidRPr="00877353">
        <w:rPr>
          <w:lang w:val="fr-CA"/>
        </w:rPr>
        <w:t>.</w:t>
      </w:r>
    </w:p>
    <w:p w14:paraId="2D7F5EB0" w14:textId="33B51FC5" w:rsidR="002B6C3E" w:rsidRDefault="00626D82" w:rsidP="003F66F0">
      <w:pPr>
        <w:pStyle w:val="ListParagraph"/>
        <w:numPr>
          <w:ilvl w:val="0"/>
          <w:numId w:val="8"/>
        </w:numPr>
      </w:pPr>
      <w:proofErr w:type="spellStart"/>
      <w:r w:rsidRPr="006F6506">
        <w:t>Systèmes</w:t>
      </w:r>
      <w:proofErr w:type="spellEnd"/>
      <w:r w:rsidRPr="006F6506">
        <w:t xml:space="preserve"> </w:t>
      </w:r>
      <w:proofErr w:type="spellStart"/>
      <w:r w:rsidRPr="006F6506">
        <w:t>d</w:t>
      </w:r>
      <w:r w:rsidR="0062518D">
        <w:t>’</w:t>
      </w:r>
      <w:r w:rsidRPr="006F6506">
        <w:t>écoute</w:t>
      </w:r>
      <w:proofErr w:type="spellEnd"/>
      <w:r w:rsidRPr="006F6506">
        <w:t xml:space="preserve"> assistive</w:t>
      </w:r>
    </w:p>
    <w:bookmarkStart w:id="366" w:name="_Toc211607581" w:displacedByCustomXml="next"/>
    <w:bookmarkEnd w:id="366" w:displacedByCustomXml="next"/>
    <w:bookmarkStart w:id="367" w:name="_Toc211607286" w:displacedByCustomXml="next"/>
    <w:bookmarkEnd w:id="367" w:displacedByCustomXml="next"/>
    <w:bookmarkStart w:id="368" w:name="_Toc211607580" w:displacedByCustomXml="next"/>
    <w:bookmarkEnd w:id="368" w:displacedByCustomXml="next"/>
    <w:bookmarkStart w:id="369" w:name="_Toc211607285" w:displacedByCustomXml="next"/>
    <w:bookmarkEnd w:id="369" w:displacedByCustomXml="next"/>
    <w:bookmarkStart w:id="370" w:name="_Toc211607579" w:displacedByCustomXml="next"/>
    <w:bookmarkEnd w:id="370" w:displacedByCustomXml="next"/>
    <w:bookmarkStart w:id="371" w:name="_Toc211607284" w:displacedByCustomXml="next"/>
    <w:bookmarkEnd w:id="371" w:displacedByCustomXml="next"/>
    <w:bookmarkStart w:id="372" w:name="_Toc211607578" w:displacedByCustomXml="next"/>
    <w:bookmarkEnd w:id="372" w:displacedByCustomXml="next"/>
    <w:bookmarkStart w:id="373" w:name="_Toc211607283" w:displacedByCustomXml="next"/>
    <w:bookmarkEnd w:id="373" w:displacedByCustomXml="next"/>
    <w:bookmarkStart w:id="374" w:name="_Toc211607577" w:displacedByCustomXml="next"/>
    <w:bookmarkEnd w:id="374" w:displacedByCustomXml="next"/>
    <w:bookmarkStart w:id="375" w:name="_Toc211607282" w:displacedByCustomXml="next"/>
    <w:bookmarkEnd w:id="375" w:displacedByCustomXml="next"/>
    <w:bookmarkStart w:id="376" w:name="_Toc211607576" w:displacedByCustomXml="next"/>
    <w:bookmarkEnd w:id="376" w:displacedByCustomXml="next"/>
    <w:bookmarkStart w:id="377" w:name="_Toc211607281" w:displacedByCustomXml="next"/>
    <w:bookmarkEnd w:id="377" w:displacedByCustomXml="next"/>
    <w:bookmarkStart w:id="378" w:name="_Toc211607575" w:displacedByCustomXml="next"/>
    <w:bookmarkEnd w:id="378" w:displacedByCustomXml="next"/>
    <w:bookmarkStart w:id="379" w:name="_Toc211607280" w:displacedByCustomXml="next"/>
    <w:bookmarkEnd w:id="379" w:displacedByCustomXml="next"/>
    <w:bookmarkStart w:id="380" w:name="_Toc211607574" w:displacedByCustomXml="next"/>
    <w:bookmarkEnd w:id="380" w:displacedByCustomXml="next"/>
    <w:bookmarkStart w:id="381" w:name="_Toc211607279" w:displacedByCustomXml="next"/>
    <w:bookmarkEnd w:id="381" w:displacedByCustomXml="next"/>
    <w:bookmarkStart w:id="382" w:name="EnglishAndFrench" w:displacedByCustomXml="next"/>
    <w:bookmarkEnd w:id="382" w:displacedByCustomXml="next"/>
    <w:bookmarkStart w:id="383" w:name="_Toc211607573" w:displacedByCustomXml="next"/>
    <w:bookmarkEnd w:id="383" w:displacedByCustomXml="next"/>
    <w:bookmarkStart w:id="384" w:name="_Toc211607278" w:displacedByCustomXml="next"/>
    <w:bookmarkEnd w:id="384" w:displacedByCustomXml="next"/>
    <w:bookmarkStart w:id="385" w:name="_Toc211607572" w:displacedByCustomXml="next"/>
    <w:bookmarkEnd w:id="385" w:displacedByCustomXml="next"/>
    <w:bookmarkStart w:id="386" w:name="_Toc211607277" w:displacedByCustomXml="next"/>
    <w:bookmarkEnd w:id="386" w:displacedByCustomXml="next"/>
    <w:bookmarkStart w:id="387" w:name="_Toc211607571" w:displacedByCustomXml="next"/>
    <w:bookmarkEnd w:id="387" w:displacedByCustomXml="next"/>
    <w:bookmarkStart w:id="388" w:name="_Toc211607276" w:displacedByCustomXml="next"/>
    <w:bookmarkEnd w:id="388" w:displacedByCustomXml="next"/>
    <w:bookmarkStart w:id="389" w:name="_Toc211607570" w:displacedByCustomXml="next"/>
    <w:bookmarkEnd w:id="389" w:displacedByCustomXml="next"/>
    <w:bookmarkStart w:id="390" w:name="_Toc211607275" w:displacedByCustomXml="next"/>
    <w:bookmarkEnd w:id="390" w:displacedByCustomXml="next"/>
    <w:bookmarkStart w:id="391" w:name="_Toc211607569" w:displacedByCustomXml="next"/>
    <w:bookmarkEnd w:id="391" w:displacedByCustomXml="next"/>
    <w:bookmarkStart w:id="392" w:name="_Toc211607274" w:displacedByCustomXml="next"/>
    <w:bookmarkEnd w:id="392" w:displacedByCustomXml="next"/>
    <w:bookmarkStart w:id="393" w:name="_Toc211607568" w:displacedByCustomXml="next"/>
    <w:bookmarkEnd w:id="393" w:displacedByCustomXml="next"/>
    <w:bookmarkStart w:id="394" w:name="_Toc211607273" w:displacedByCustomXml="next"/>
    <w:bookmarkEnd w:id="394" w:displacedByCustomXml="next"/>
    <w:bookmarkStart w:id="395" w:name="_Toc211607567" w:displacedByCustomXml="next"/>
    <w:bookmarkEnd w:id="395" w:displacedByCustomXml="next"/>
    <w:bookmarkStart w:id="396" w:name="_Toc211607272" w:displacedByCustomXml="next"/>
    <w:bookmarkEnd w:id="396" w:displacedByCustomXml="next"/>
    <w:bookmarkStart w:id="397" w:name="_Toc211607566" w:displacedByCustomXml="next"/>
    <w:bookmarkEnd w:id="397" w:displacedByCustomXml="next"/>
    <w:bookmarkStart w:id="398" w:name="_Toc211607271" w:displacedByCustomXml="next"/>
    <w:bookmarkEnd w:id="398" w:displacedByCustomXml="next"/>
    <w:bookmarkStart w:id="399" w:name="_Toc211607565" w:displacedByCustomXml="next"/>
    <w:bookmarkEnd w:id="399" w:displacedByCustomXml="next"/>
    <w:bookmarkStart w:id="400" w:name="_Toc211607270" w:displacedByCustomXml="next"/>
    <w:bookmarkEnd w:id="400" w:displacedByCustomXml="next"/>
    <w:bookmarkStart w:id="401" w:name="_Toc211607564" w:displacedByCustomXml="next"/>
    <w:bookmarkEnd w:id="401" w:displacedByCustomXml="next"/>
    <w:bookmarkStart w:id="402" w:name="_Toc211607269" w:displacedByCustomXml="next"/>
    <w:bookmarkEnd w:id="402" w:displacedByCustomXml="next"/>
    <w:bookmarkStart w:id="403" w:name="_Toc211607563" w:displacedByCustomXml="next"/>
    <w:bookmarkEnd w:id="403" w:displacedByCustomXml="next"/>
    <w:bookmarkStart w:id="404" w:name="_Toc211607268" w:displacedByCustomXml="next"/>
    <w:bookmarkEnd w:id="404" w:displacedByCustomXml="next"/>
    <w:bookmarkStart w:id="405" w:name="_Toc211607562" w:displacedByCustomXml="next"/>
    <w:bookmarkEnd w:id="405" w:displacedByCustomXml="next"/>
    <w:bookmarkStart w:id="406" w:name="_Toc211607267" w:displacedByCustomXml="next"/>
    <w:bookmarkEnd w:id="406" w:displacedByCustomXml="next"/>
    <w:bookmarkStart w:id="407" w:name="_Toc211607561" w:displacedByCustomXml="next"/>
    <w:bookmarkEnd w:id="407" w:displacedByCustomXml="next"/>
    <w:bookmarkStart w:id="408" w:name="_Toc211607266" w:displacedByCustomXml="next"/>
    <w:bookmarkEnd w:id="408" w:displacedByCustomXml="next"/>
    <w:bookmarkStart w:id="409" w:name="_Toc211607560" w:displacedByCustomXml="next"/>
    <w:bookmarkEnd w:id="409" w:displacedByCustomXml="next"/>
    <w:bookmarkStart w:id="410" w:name="_Toc211607265" w:displacedByCustomXml="next"/>
    <w:bookmarkEnd w:id="410" w:displacedByCustomXml="next"/>
    <w:bookmarkStart w:id="411" w:name="_Toc211607559" w:displacedByCustomXml="next"/>
    <w:bookmarkEnd w:id="411" w:displacedByCustomXml="next"/>
    <w:bookmarkStart w:id="412" w:name="_Toc211607264" w:displacedByCustomXml="next"/>
    <w:bookmarkEnd w:id="412" w:displacedByCustomXml="next"/>
    <w:bookmarkStart w:id="413" w:name="_Toc211607558" w:displacedByCustomXml="next"/>
    <w:bookmarkEnd w:id="413" w:displacedByCustomXml="next"/>
    <w:bookmarkStart w:id="414" w:name="_Toc211607263" w:displacedByCustomXml="next"/>
    <w:bookmarkEnd w:id="414" w:displacedByCustomXml="next"/>
    <w:bookmarkStart w:id="415" w:name="_Toc211607557" w:displacedByCustomXml="next"/>
    <w:bookmarkEnd w:id="415" w:displacedByCustomXml="next"/>
    <w:bookmarkStart w:id="416" w:name="_Toc211607262" w:displacedByCustomXml="next"/>
    <w:bookmarkEnd w:id="416" w:displacedByCustomXml="next"/>
    <w:bookmarkStart w:id="417" w:name="_Toc211607556" w:displacedByCustomXml="next"/>
    <w:bookmarkEnd w:id="417" w:displacedByCustomXml="next"/>
    <w:bookmarkStart w:id="418" w:name="_Toc211607261" w:displacedByCustomXml="next"/>
    <w:bookmarkEnd w:id="418" w:displacedByCustomXml="next"/>
    <w:bookmarkStart w:id="419" w:name="_Toc211607555" w:displacedByCustomXml="next"/>
    <w:bookmarkEnd w:id="419" w:displacedByCustomXml="next"/>
    <w:bookmarkStart w:id="420" w:name="_Toc211607260" w:displacedByCustomXml="next"/>
    <w:bookmarkEnd w:id="420" w:displacedByCustomXml="next"/>
    <w:bookmarkStart w:id="421" w:name="_Toc211607554" w:displacedByCustomXml="next"/>
    <w:bookmarkEnd w:id="421" w:displacedByCustomXml="next"/>
    <w:bookmarkStart w:id="422" w:name="_Toc211607259" w:displacedByCustomXml="next"/>
    <w:bookmarkEnd w:id="422" w:displacedByCustomXml="next"/>
    <w:bookmarkStart w:id="423" w:name="_Toc211607553" w:displacedByCustomXml="next"/>
    <w:bookmarkEnd w:id="423" w:displacedByCustomXml="next"/>
    <w:bookmarkStart w:id="424" w:name="_Toc211607258" w:displacedByCustomXml="next"/>
    <w:bookmarkEnd w:id="424" w:displacedByCustomXml="next"/>
    <w:bookmarkStart w:id="425" w:name="_Toc211607552" w:displacedByCustomXml="next"/>
    <w:bookmarkEnd w:id="425" w:displacedByCustomXml="next"/>
    <w:bookmarkStart w:id="426" w:name="_Toc211607257" w:displacedByCustomXml="next"/>
    <w:bookmarkEnd w:id="426" w:displacedByCustomXml="next"/>
    <w:bookmarkStart w:id="427" w:name="_Toc211607551" w:displacedByCustomXml="next"/>
    <w:bookmarkEnd w:id="427" w:displacedByCustomXml="next"/>
    <w:bookmarkStart w:id="428" w:name="_Toc211607256" w:displacedByCustomXml="next"/>
    <w:bookmarkEnd w:id="428" w:displacedByCustomXml="next"/>
    <w:bookmarkStart w:id="429" w:name="_Toc211607550" w:displacedByCustomXml="next"/>
    <w:bookmarkEnd w:id="429" w:displacedByCustomXml="next"/>
    <w:bookmarkStart w:id="430" w:name="_Toc211607255" w:displacedByCustomXml="next"/>
    <w:bookmarkEnd w:id="430" w:displacedByCustomXml="next"/>
    <w:bookmarkStart w:id="431" w:name="_Toc211607549" w:displacedByCustomXml="next"/>
    <w:bookmarkEnd w:id="431" w:displacedByCustomXml="next"/>
    <w:bookmarkStart w:id="432" w:name="_Toc211607254" w:displacedByCustomXml="next"/>
    <w:bookmarkEnd w:id="432" w:displacedByCustomXml="next"/>
    <w:bookmarkStart w:id="433" w:name="_Toc211607548" w:displacedByCustomXml="next"/>
    <w:bookmarkEnd w:id="433" w:displacedByCustomXml="next"/>
    <w:bookmarkStart w:id="434" w:name="_Toc211607253" w:displacedByCustomXml="next"/>
    <w:bookmarkEnd w:id="434" w:displacedByCustomXml="next"/>
    <w:bookmarkStart w:id="435" w:name="_Toc211607547" w:displacedByCustomXml="next"/>
    <w:bookmarkEnd w:id="435" w:displacedByCustomXml="next"/>
    <w:bookmarkStart w:id="436" w:name="_Toc211607252" w:displacedByCustomXml="next"/>
    <w:bookmarkEnd w:id="436" w:displacedByCustomXml="next"/>
    <w:bookmarkStart w:id="437" w:name="_Toc211607546" w:displacedByCustomXml="next"/>
    <w:bookmarkEnd w:id="437" w:displacedByCustomXml="next"/>
    <w:bookmarkStart w:id="438" w:name="_Toc211607251" w:displacedByCustomXml="next"/>
    <w:bookmarkEnd w:id="438" w:displacedByCustomXml="next"/>
    <w:bookmarkStart w:id="439" w:name="_Toc211607545" w:displacedByCustomXml="next"/>
    <w:bookmarkEnd w:id="439" w:displacedByCustomXml="next"/>
    <w:bookmarkStart w:id="440" w:name="_Toc211607250" w:displacedByCustomXml="next"/>
    <w:bookmarkEnd w:id="440" w:displacedByCustomXml="next"/>
    <w:bookmarkStart w:id="441" w:name="_Toc211607544" w:displacedByCustomXml="next"/>
    <w:bookmarkEnd w:id="441" w:displacedByCustomXml="next"/>
    <w:bookmarkStart w:id="442" w:name="_Toc211607249" w:displacedByCustomXml="next"/>
    <w:bookmarkEnd w:id="442" w:displacedByCustomXml="next"/>
    <w:bookmarkStart w:id="443" w:name="_Toc211607543" w:displacedByCustomXml="next"/>
    <w:bookmarkEnd w:id="443" w:displacedByCustomXml="next"/>
    <w:bookmarkStart w:id="444" w:name="_Toc211607248" w:displacedByCustomXml="next"/>
    <w:bookmarkEnd w:id="444" w:displacedByCustomXml="next"/>
    <w:bookmarkStart w:id="445" w:name="_Toc211607542" w:displacedByCustomXml="next"/>
    <w:bookmarkEnd w:id="445" w:displacedByCustomXml="next"/>
    <w:bookmarkStart w:id="446" w:name="_Toc211607247" w:displacedByCustomXml="next"/>
    <w:bookmarkEnd w:id="446" w:displacedByCustomXml="next"/>
    <w:bookmarkStart w:id="447" w:name="_Toc211607541" w:displacedByCustomXml="next"/>
    <w:bookmarkEnd w:id="447" w:displacedByCustomXml="next"/>
    <w:bookmarkStart w:id="448" w:name="_Toc211607246" w:displacedByCustomXml="next"/>
    <w:bookmarkEnd w:id="448" w:displacedByCustomXml="next"/>
    <w:bookmarkStart w:id="449" w:name="_Toc211607540" w:displacedByCustomXml="next"/>
    <w:bookmarkEnd w:id="449" w:displacedByCustomXml="next"/>
    <w:bookmarkStart w:id="450" w:name="_Toc211607245" w:displacedByCustomXml="next"/>
    <w:bookmarkEnd w:id="450" w:displacedByCustomXml="next"/>
    <w:bookmarkStart w:id="451" w:name="_Toc211607539" w:displacedByCustomXml="next"/>
    <w:bookmarkEnd w:id="451" w:displacedByCustomXml="next"/>
    <w:bookmarkStart w:id="452" w:name="_Toc211607244" w:displacedByCustomXml="next"/>
    <w:bookmarkEnd w:id="452" w:displacedByCustomXml="next"/>
    <w:bookmarkStart w:id="453" w:name="_Toc211607538" w:displacedByCustomXml="next"/>
    <w:bookmarkEnd w:id="453" w:displacedByCustomXml="next"/>
    <w:bookmarkStart w:id="454" w:name="_Toc211607243" w:displacedByCustomXml="next"/>
    <w:bookmarkEnd w:id="454" w:displacedByCustomXml="next"/>
    <w:bookmarkStart w:id="455" w:name="_Toc211607537" w:displacedByCustomXml="next"/>
    <w:bookmarkEnd w:id="455" w:displacedByCustomXml="next"/>
    <w:bookmarkStart w:id="456" w:name="_Toc211607242" w:displacedByCustomXml="next"/>
    <w:bookmarkEnd w:id="456" w:displacedByCustomXml="next"/>
    <w:bookmarkStart w:id="457" w:name="_Toc211607536" w:displacedByCustomXml="next"/>
    <w:bookmarkEnd w:id="457" w:displacedByCustomXml="next"/>
    <w:bookmarkStart w:id="458" w:name="_Toc211607241" w:displacedByCustomXml="next"/>
    <w:bookmarkEnd w:id="458" w:displacedByCustomXml="next"/>
    <w:bookmarkStart w:id="459" w:name="_Toc211607535" w:displacedByCustomXml="next"/>
    <w:bookmarkEnd w:id="459" w:displacedByCustomXml="next"/>
    <w:bookmarkStart w:id="460" w:name="_Toc211607240" w:displacedByCustomXml="next"/>
    <w:bookmarkEnd w:id="460" w:displacedByCustomXml="next"/>
    <w:bookmarkStart w:id="461" w:name="_Toc211607534" w:displacedByCustomXml="next"/>
    <w:bookmarkEnd w:id="461" w:displacedByCustomXml="next"/>
    <w:bookmarkStart w:id="462" w:name="_Toc211607239" w:displacedByCustomXml="next"/>
    <w:bookmarkEnd w:id="462" w:displacedByCustomXml="next"/>
    <w:bookmarkStart w:id="463" w:name="_Toc211607533" w:displacedByCustomXml="next"/>
    <w:bookmarkEnd w:id="463" w:displacedByCustomXml="next"/>
    <w:bookmarkStart w:id="464" w:name="_Toc211607238" w:displacedByCustomXml="next"/>
    <w:bookmarkEnd w:id="464" w:displacedByCustomXml="next"/>
    <w:bookmarkStart w:id="465" w:name="_Toc211607532" w:displacedByCustomXml="next"/>
    <w:bookmarkEnd w:id="465" w:displacedByCustomXml="next"/>
    <w:bookmarkStart w:id="466" w:name="_Toc211607237" w:displacedByCustomXml="next"/>
    <w:bookmarkEnd w:id="466" w:displacedByCustomXml="next"/>
    <w:bookmarkStart w:id="467" w:name="_Toc211607531" w:displacedByCustomXml="next"/>
    <w:bookmarkEnd w:id="467" w:displacedByCustomXml="next"/>
    <w:bookmarkStart w:id="468" w:name="_Toc211607236" w:displacedByCustomXml="next"/>
    <w:bookmarkEnd w:id="468" w:displacedByCustomXml="next"/>
    <w:bookmarkStart w:id="469" w:name="_Toc211607530" w:displacedByCustomXml="next"/>
    <w:bookmarkEnd w:id="469" w:displacedByCustomXml="next"/>
    <w:bookmarkStart w:id="470" w:name="_Toc211607235" w:displacedByCustomXml="next"/>
    <w:bookmarkEnd w:id="470" w:displacedByCustomXml="next"/>
    <w:bookmarkStart w:id="471" w:name="_Toc211607529" w:displacedByCustomXml="next"/>
    <w:bookmarkEnd w:id="471" w:displacedByCustomXml="next"/>
    <w:bookmarkStart w:id="472" w:name="_Toc211607234" w:displacedByCustomXml="next"/>
    <w:bookmarkEnd w:id="472" w:displacedByCustomXml="next"/>
    <w:bookmarkStart w:id="473" w:name="_Toc211607528" w:displacedByCustomXml="next"/>
    <w:bookmarkEnd w:id="473" w:displacedByCustomXml="next"/>
    <w:bookmarkStart w:id="474" w:name="_Toc211607233" w:displacedByCustomXml="next"/>
    <w:bookmarkEnd w:id="474" w:displacedByCustomXml="next"/>
    <w:bookmarkStart w:id="475" w:name="_Toc211607527" w:displacedByCustomXml="next"/>
    <w:bookmarkEnd w:id="475" w:displacedByCustomXml="next"/>
    <w:bookmarkStart w:id="476" w:name="_Toc211607232" w:displacedByCustomXml="next"/>
    <w:bookmarkEnd w:id="476" w:displacedByCustomXml="next"/>
    <w:bookmarkStart w:id="477" w:name="_Toc211607526" w:displacedByCustomXml="next"/>
    <w:bookmarkEnd w:id="477" w:displacedByCustomXml="next"/>
    <w:bookmarkStart w:id="478" w:name="_Toc211607231" w:displacedByCustomXml="next"/>
    <w:bookmarkEnd w:id="478" w:displacedByCustomXml="next"/>
    <w:bookmarkStart w:id="479" w:name="_Toc211607525" w:displacedByCustomXml="next"/>
    <w:bookmarkEnd w:id="479" w:displacedByCustomXml="next"/>
    <w:bookmarkStart w:id="480" w:name="_Toc211607230" w:displacedByCustomXml="next"/>
    <w:bookmarkEnd w:id="480" w:displacedByCustomXml="next"/>
    <w:bookmarkStart w:id="481" w:name="_Toc211607524" w:displacedByCustomXml="next"/>
    <w:bookmarkEnd w:id="481" w:displacedByCustomXml="next"/>
    <w:bookmarkStart w:id="482" w:name="_Toc211607229" w:displacedByCustomXml="next"/>
    <w:bookmarkEnd w:id="482" w:displacedByCustomXml="next"/>
    <w:bookmarkStart w:id="483" w:name="_Toc211607523" w:displacedByCustomXml="next"/>
    <w:bookmarkEnd w:id="483" w:displacedByCustomXml="next"/>
    <w:bookmarkStart w:id="484" w:name="_Toc211607228" w:displacedByCustomXml="next"/>
    <w:bookmarkEnd w:id="484" w:displacedByCustomXml="next"/>
    <w:bookmarkStart w:id="485" w:name="_Toc211607522" w:displacedByCustomXml="next"/>
    <w:bookmarkEnd w:id="485" w:displacedByCustomXml="next"/>
    <w:bookmarkStart w:id="486" w:name="_Toc211607227" w:displacedByCustomXml="next"/>
    <w:bookmarkEnd w:id="486" w:displacedByCustomXml="next"/>
    <w:bookmarkStart w:id="487" w:name="_Toc211607521" w:displacedByCustomXml="next"/>
    <w:bookmarkEnd w:id="487" w:displacedByCustomXml="next"/>
    <w:bookmarkStart w:id="488" w:name="_Toc211607226" w:displacedByCustomXml="next"/>
    <w:bookmarkEnd w:id="488" w:displacedByCustomXml="next"/>
    <w:bookmarkStart w:id="489" w:name="_Toc211607520" w:displacedByCustomXml="next"/>
    <w:bookmarkEnd w:id="489" w:displacedByCustomXml="next"/>
    <w:bookmarkStart w:id="490" w:name="_Toc211607225" w:displacedByCustomXml="next"/>
    <w:bookmarkEnd w:id="490" w:displacedByCustomXml="next"/>
    <w:bookmarkStart w:id="491" w:name="_Toc211607519" w:displacedByCustomXml="next"/>
    <w:bookmarkEnd w:id="491" w:displacedByCustomXml="next"/>
    <w:bookmarkStart w:id="492" w:name="_Toc211607224" w:displacedByCustomXml="next"/>
    <w:bookmarkEnd w:id="492" w:displacedByCustomXml="next"/>
    <w:bookmarkStart w:id="493" w:name="_Toc211607518" w:displacedByCustomXml="next"/>
    <w:bookmarkEnd w:id="493" w:displacedByCustomXml="next"/>
    <w:bookmarkStart w:id="494" w:name="_Toc211607223" w:displacedByCustomXml="next"/>
    <w:bookmarkEnd w:id="494" w:displacedByCustomXml="next"/>
    <w:bookmarkStart w:id="495" w:name="_Toc211607517" w:displacedByCustomXml="next"/>
    <w:bookmarkEnd w:id="495" w:displacedByCustomXml="next"/>
    <w:bookmarkStart w:id="496" w:name="_Toc211607222" w:displacedByCustomXml="next"/>
    <w:bookmarkEnd w:id="496" w:displacedByCustomXml="next"/>
    <w:bookmarkStart w:id="497" w:name="_Toc211607516" w:displacedByCustomXml="next"/>
    <w:bookmarkEnd w:id="497" w:displacedByCustomXml="next"/>
    <w:bookmarkStart w:id="498" w:name="_Toc211607221" w:displacedByCustomXml="next"/>
    <w:bookmarkEnd w:id="498" w:displacedByCustomXml="next"/>
    <w:bookmarkStart w:id="499" w:name="_Toc211607515" w:displacedByCustomXml="next"/>
    <w:bookmarkEnd w:id="499" w:displacedByCustomXml="next"/>
    <w:bookmarkStart w:id="500" w:name="_Toc211607220" w:displacedByCustomXml="next"/>
    <w:bookmarkEnd w:id="500" w:displacedByCustomXml="next"/>
    <w:bookmarkStart w:id="501" w:name="_Toc211607514" w:displacedByCustomXml="next"/>
    <w:bookmarkEnd w:id="501" w:displacedByCustomXml="next"/>
    <w:bookmarkStart w:id="502" w:name="_Toc211607219" w:displacedByCustomXml="next"/>
    <w:bookmarkEnd w:id="502" w:displacedByCustomXml="next"/>
    <w:bookmarkStart w:id="503" w:name="_Toc170290865" w:displacedByCustomXml="next"/>
    <w:bookmarkEnd w:id="503" w:displacedByCustomXml="next"/>
    <w:bookmarkStart w:id="504" w:name="_Toc170290864" w:displacedByCustomXml="next"/>
    <w:bookmarkEnd w:id="504" w:displacedByCustomXml="next"/>
    <w:bookmarkStart w:id="505" w:name="_Toc170290863" w:displacedByCustomXml="next"/>
    <w:bookmarkEnd w:id="505" w:displacedByCustomXml="next"/>
    <w:bookmarkStart w:id="506" w:name="_Toc170290862" w:displacedByCustomXml="next"/>
    <w:bookmarkEnd w:id="506" w:displacedByCustomXml="next"/>
    <w:bookmarkStart w:id="507" w:name="_Toc211607513" w:displacedByCustomXml="next"/>
    <w:bookmarkEnd w:id="507" w:displacedByCustomXml="next"/>
    <w:bookmarkStart w:id="508" w:name="_Toc211607218" w:displacedByCustomXml="next"/>
    <w:bookmarkEnd w:id="508" w:displacedByCustomXml="next"/>
    <w:bookmarkStart w:id="509" w:name="_Toc211607512" w:displacedByCustomXml="next"/>
    <w:bookmarkEnd w:id="509" w:displacedByCustomXml="next"/>
    <w:bookmarkStart w:id="510" w:name="_Toc211607217" w:displacedByCustomXml="next"/>
    <w:bookmarkEnd w:id="510" w:displacedByCustomXml="next"/>
    <w:bookmarkStart w:id="511" w:name="_Toc211607511" w:displacedByCustomXml="next"/>
    <w:bookmarkEnd w:id="511" w:displacedByCustomXml="next"/>
    <w:bookmarkStart w:id="512" w:name="_Toc211607216" w:displacedByCustomXml="next"/>
    <w:bookmarkEnd w:id="512" w:displacedByCustomXml="next"/>
    <w:bookmarkStart w:id="513" w:name="_Toc211607510" w:displacedByCustomXml="next"/>
    <w:bookmarkEnd w:id="513" w:displacedByCustomXml="next"/>
    <w:bookmarkStart w:id="514" w:name="_Toc211607215" w:displacedByCustomXml="next"/>
    <w:bookmarkEnd w:id="514" w:displacedByCustomXml="next"/>
    <w:bookmarkStart w:id="515" w:name="_Toc211607509" w:displacedByCustomXml="next"/>
    <w:bookmarkEnd w:id="515" w:displacedByCustomXml="next"/>
    <w:bookmarkStart w:id="516" w:name="_Toc211607214" w:displacedByCustomXml="next"/>
    <w:bookmarkEnd w:id="516" w:displacedByCustomXml="next"/>
    <w:bookmarkStart w:id="517" w:name="_Toc211607508" w:displacedByCustomXml="next"/>
    <w:bookmarkEnd w:id="517" w:displacedByCustomXml="next"/>
    <w:bookmarkStart w:id="518" w:name="_Toc211607213" w:displacedByCustomXml="next"/>
    <w:bookmarkEnd w:id="518" w:displacedByCustomXml="next"/>
    <w:bookmarkStart w:id="519" w:name="_Toc211607507" w:displacedByCustomXml="next"/>
    <w:bookmarkEnd w:id="519" w:displacedByCustomXml="next"/>
    <w:bookmarkStart w:id="520" w:name="_Toc211607212" w:displacedByCustomXml="next"/>
    <w:bookmarkEnd w:id="520" w:displacedByCustomXml="next"/>
    <w:bookmarkStart w:id="521" w:name="_Toc211607506" w:displacedByCustomXml="next"/>
    <w:bookmarkEnd w:id="521" w:displacedByCustomXml="next"/>
    <w:bookmarkStart w:id="522" w:name="_Toc211607211" w:displacedByCustomXml="next"/>
    <w:bookmarkEnd w:id="522" w:displacedByCustomXml="next"/>
    <w:bookmarkStart w:id="523" w:name="_Toc211607505" w:displacedByCustomXml="next"/>
    <w:bookmarkEnd w:id="523" w:displacedByCustomXml="next"/>
    <w:bookmarkStart w:id="524" w:name="_Toc211607210" w:displacedByCustomXml="next"/>
    <w:bookmarkEnd w:id="524" w:displacedByCustomXml="next"/>
    <w:bookmarkStart w:id="525" w:name="_Toc211607504" w:displacedByCustomXml="next"/>
    <w:bookmarkEnd w:id="525" w:displacedByCustomXml="next"/>
    <w:bookmarkStart w:id="526" w:name="_Toc211607209" w:displacedByCustomXml="next"/>
    <w:bookmarkEnd w:id="526" w:displacedByCustomXml="next"/>
    <w:bookmarkStart w:id="527" w:name="_Toc211607503" w:displacedByCustomXml="next"/>
    <w:bookmarkEnd w:id="527" w:displacedByCustomXml="next"/>
    <w:bookmarkStart w:id="528" w:name="_Toc211607208" w:displacedByCustomXml="next"/>
    <w:bookmarkEnd w:id="528" w:displacedByCustomXml="next"/>
    <w:bookmarkStart w:id="529" w:name="_Toc211607502" w:displacedByCustomXml="next"/>
    <w:bookmarkEnd w:id="529" w:displacedByCustomXml="next"/>
    <w:bookmarkStart w:id="530" w:name="_Toc211607207" w:displacedByCustomXml="next"/>
    <w:bookmarkEnd w:id="530" w:displacedByCustomXml="next"/>
    <w:bookmarkStart w:id="531" w:name="_Toc211607501" w:displacedByCustomXml="next"/>
    <w:bookmarkEnd w:id="531" w:displacedByCustomXml="next"/>
    <w:bookmarkStart w:id="532" w:name="_Toc211607206" w:displacedByCustomXml="next"/>
    <w:bookmarkEnd w:id="532" w:displacedByCustomXml="next"/>
    <w:bookmarkStart w:id="533" w:name="_Toc211607500" w:displacedByCustomXml="next"/>
    <w:bookmarkEnd w:id="533" w:displacedByCustomXml="next"/>
    <w:bookmarkStart w:id="534" w:name="_Toc211607205" w:displacedByCustomXml="next"/>
    <w:bookmarkEnd w:id="534" w:displacedByCustomXml="next"/>
    <w:bookmarkStart w:id="535" w:name="_Toc211607499" w:displacedByCustomXml="next"/>
    <w:bookmarkEnd w:id="535" w:displacedByCustomXml="next"/>
    <w:bookmarkStart w:id="536" w:name="_Toc211607204" w:displacedByCustomXml="next"/>
    <w:bookmarkEnd w:id="536" w:displacedByCustomXml="next"/>
    <w:bookmarkStart w:id="537" w:name="_Toc211607498" w:displacedByCustomXml="next"/>
    <w:bookmarkEnd w:id="537" w:displacedByCustomXml="next"/>
    <w:bookmarkStart w:id="538" w:name="_Toc211607203" w:displacedByCustomXml="next"/>
    <w:bookmarkEnd w:id="538" w:displacedByCustomXml="next"/>
    <w:bookmarkEnd w:id="364" w:displacedByCustomXml="next"/>
    <w:bookmarkStart w:id="539" w:name="_Toc219706182" w:displacedByCustomXml="next"/>
    <w:bookmarkStart w:id="540" w:name="_Toc154490804" w:displacedByCustomXml="next"/>
    <w:sdt>
      <w:sdtPr>
        <w:rPr>
          <w:rFonts w:eastAsiaTheme="minorEastAsia" w:cstheme="minorBidi"/>
          <w:b w:val="0"/>
          <w:sz w:val="28"/>
          <w:szCs w:val="28"/>
        </w:rPr>
        <w:id w:val="-276096358"/>
        <w:lock w:val="sdtContentLocked"/>
        <w:placeholder>
          <w:docPart w:val="DefaultPlaceholder_-1854013440"/>
        </w:placeholder>
        <w15:appearance w15:val="hidden"/>
      </w:sdtPr>
      <w:sdtContent>
        <w:p w14:paraId="362BE533" w14:textId="41FF8E9D" w:rsidR="002B6C3E" w:rsidRPr="00B60E51" w:rsidRDefault="002B6C3E" w:rsidP="00C6047C">
          <w:pPr>
            <w:pStyle w:val="Heading2"/>
            <w:rPr>
              <w:lang w:val="fr-CA"/>
            </w:rPr>
          </w:pPr>
          <w:r w:rsidRPr="00B60E51">
            <w:rPr>
              <w:lang w:val="fr-CA"/>
            </w:rPr>
            <w:t>Terminologie</w:t>
          </w:r>
          <w:bookmarkEnd w:id="539"/>
        </w:p>
        <w:bookmarkEnd w:id="540"/>
        <w:p w14:paraId="4D049AB0" w14:textId="5D62EB51" w:rsidR="008F27AA" w:rsidRPr="00B60E51" w:rsidRDefault="002C4535" w:rsidP="002C4535">
          <w:pPr>
            <w:rPr>
              <w:lang w:val="fr-CA"/>
            </w:rPr>
          </w:pPr>
          <w:r w:rsidRPr="00B60E51">
            <w:rPr>
              <w:lang w:val="fr-CA"/>
            </w:rPr>
            <w:t xml:space="preserve">Dans </w:t>
          </w:r>
          <w:r w:rsidR="00F11EFF">
            <w:rPr>
              <w:lang w:val="fr-CA"/>
            </w:rPr>
            <w:t>la pr</w:t>
          </w:r>
          <w:r w:rsidR="00C6007D" w:rsidRPr="00C6007D">
            <w:rPr>
              <w:lang w:val="fr-CA"/>
            </w:rPr>
            <w:t>é</w:t>
          </w:r>
          <w:r w:rsidR="00F11EFF">
            <w:rPr>
              <w:lang w:val="fr-CA"/>
            </w:rPr>
            <w:t>sente</w:t>
          </w:r>
          <w:r w:rsidRPr="00B60E51">
            <w:rPr>
              <w:lang w:val="fr-CA"/>
            </w:rPr>
            <w:t xml:space="preserve"> norme, trois termes sont définis comme suit :</w:t>
          </w:r>
        </w:p>
        <w:p w14:paraId="44AF1E84" w14:textId="0DDE0AC9" w:rsidR="008F27AA" w:rsidRPr="00B60E51" w:rsidRDefault="002C4535" w:rsidP="003F66F0">
          <w:pPr>
            <w:pStyle w:val="ListParagraph"/>
            <w:numPr>
              <w:ilvl w:val="0"/>
              <w:numId w:val="7"/>
            </w:numPr>
            <w:rPr>
              <w:lang w:val="fr-CA"/>
            </w:rPr>
          </w:pPr>
          <w:r w:rsidRPr="00B60E51">
            <w:rPr>
              <w:lang w:val="fr-CA"/>
            </w:rPr>
            <w:t xml:space="preserve">Doit : Exprime une exigence ou une </w:t>
          </w:r>
          <w:r w:rsidR="00D55A33">
            <w:rPr>
              <w:lang w:val="fr-CA"/>
            </w:rPr>
            <w:t>disposition</w:t>
          </w:r>
          <w:r w:rsidRPr="00B60E51">
            <w:rPr>
              <w:lang w:val="fr-CA"/>
            </w:rPr>
            <w:t xml:space="preserve"> que l'utilisateur </w:t>
          </w:r>
          <w:r w:rsidR="00D55A33">
            <w:rPr>
              <w:lang w:val="fr-CA"/>
            </w:rPr>
            <w:t>doit satisfaire pour se</w:t>
          </w:r>
          <w:r w:rsidRPr="00B60E51">
            <w:rPr>
              <w:lang w:val="fr-CA"/>
            </w:rPr>
            <w:t xml:space="preserve"> conformer à la norme.</w:t>
          </w:r>
        </w:p>
        <w:p w14:paraId="0D3279DC" w14:textId="59C717CA" w:rsidR="008F27AA" w:rsidRPr="00B60E51" w:rsidRDefault="002C4535" w:rsidP="003F66F0">
          <w:pPr>
            <w:pStyle w:val="ListParagraph"/>
            <w:numPr>
              <w:ilvl w:val="0"/>
              <w:numId w:val="7"/>
            </w:numPr>
            <w:rPr>
              <w:lang w:val="fr-CA"/>
            </w:rPr>
          </w:pPr>
          <w:r w:rsidRPr="00B60E51">
            <w:rPr>
              <w:lang w:val="fr-CA"/>
            </w:rPr>
            <w:t>Devrait : Exprime une recommandation</w:t>
          </w:r>
          <w:r w:rsidR="00D55A33">
            <w:rPr>
              <w:lang w:val="fr-CA"/>
            </w:rPr>
            <w:t xml:space="preserve"> ou un conseil</w:t>
          </w:r>
          <w:r w:rsidR="00E711FA">
            <w:rPr>
              <w:lang w:val="fr-CA"/>
            </w:rPr>
            <w:t>,</w:t>
          </w:r>
          <w:r w:rsidR="00D55A33">
            <w:rPr>
              <w:lang w:val="fr-CA"/>
            </w:rPr>
            <w:t xml:space="preserve"> </w:t>
          </w:r>
          <w:r w:rsidRPr="00B60E51">
            <w:rPr>
              <w:lang w:val="fr-CA"/>
            </w:rPr>
            <w:t xml:space="preserve">mais non </w:t>
          </w:r>
          <w:r w:rsidR="00167F4E">
            <w:rPr>
              <w:lang w:val="fr-CA"/>
            </w:rPr>
            <w:t>une exigence</w:t>
          </w:r>
          <w:r w:rsidRPr="00B60E51">
            <w:rPr>
              <w:lang w:val="fr-CA"/>
            </w:rPr>
            <w:t>.</w:t>
          </w:r>
        </w:p>
        <w:p w14:paraId="6479A078" w14:textId="500F91AD" w:rsidR="002C4535" w:rsidRPr="00B60E51" w:rsidRDefault="00167F4E" w:rsidP="003F66F0">
          <w:pPr>
            <w:pStyle w:val="ListParagraph"/>
            <w:numPr>
              <w:ilvl w:val="0"/>
              <w:numId w:val="7"/>
            </w:numPr>
            <w:rPr>
              <w:lang w:val="fr-CA"/>
            </w:rPr>
          </w:pPr>
          <w:r>
            <w:rPr>
              <w:lang w:val="fr-CA"/>
            </w:rPr>
            <w:t>Peut</w:t>
          </w:r>
          <w:r w:rsidR="002C4535" w:rsidRPr="00B60E51">
            <w:rPr>
              <w:lang w:val="fr-CA"/>
            </w:rPr>
            <w:t xml:space="preserve"> : Exprime une </w:t>
          </w:r>
          <w:r w:rsidR="006E1B1E">
            <w:rPr>
              <w:lang w:val="fr-CA"/>
            </w:rPr>
            <w:t>possibilité</w:t>
          </w:r>
          <w:r>
            <w:rPr>
              <w:lang w:val="fr-CA"/>
            </w:rPr>
            <w:t xml:space="preserve"> ou une permission dans </w:t>
          </w:r>
          <w:r w:rsidR="002C4535" w:rsidRPr="00B60E51">
            <w:rPr>
              <w:lang w:val="fr-CA"/>
            </w:rPr>
            <w:t>les limites de la norme.</w:t>
          </w:r>
        </w:p>
        <w:p w14:paraId="10CF70E7" w14:textId="28A26283" w:rsidR="00956279" w:rsidRPr="00B60E51" w:rsidRDefault="00956279" w:rsidP="00956279">
          <w:pPr>
            <w:rPr>
              <w:lang w:val="fr-CA"/>
            </w:rPr>
          </w:pPr>
          <w:r w:rsidRPr="00B60E51">
            <w:rPr>
              <w:lang w:val="fr-CA"/>
            </w:rPr>
            <w:t xml:space="preserve">Les </w:t>
          </w:r>
          <w:r w:rsidR="006E1B1E">
            <w:rPr>
              <w:lang w:val="fr-CA"/>
            </w:rPr>
            <w:t>remarques</w:t>
          </w:r>
          <w:r w:rsidRPr="00B60E51">
            <w:rPr>
              <w:lang w:val="fr-CA"/>
            </w:rPr>
            <w:t xml:space="preserve"> accompagnant les </w:t>
          </w:r>
          <w:r w:rsidR="006E1B1E">
            <w:rPr>
              <w:lang w:val="fr-CA"/>
            </w:rPr>
            <w:t>articles</w:t>
          </w:r>
          <w:r w:rsidRPr="00B60E51">
            <w:rPr>
              <w:lang w:val="fr-CA"/>
            </w:rPr>
            <w:t xml:space="preserve"> n</w:t>
          </w:r>
          <w:r w:rsidR="006E1B1E">
            <w:rPr>
              <w:lang w:val="fr-CA"/>
            </w:rPr>
            <w:t>e comprennent p</w:t>
          </w:r>
          <w:r w:rsidRPr="00B60E51">
            <w:rPr>
              <w:lang w:val="fr-CA"/>
            </w:rPr>
            <w:t>as d'exigences alternati</w:t>
          </w:r>
          <w:r w:rsidR="005E7D27">
            <w:rPr>
              <w:lang w:val="fr-CA"/>
            </w:rPr>
            <w:t>ve</w:t>
          </w:r>
          <w:r w:rsidRPr="00B60E51">
            <w:rPr>
              <w:lang w:val="fr-CA"/>
            </w:rPr>
            <w:t>s</w:t>
          </w:r>
          <w:r w:rsidR="005E7D27">
            <w:rPr>
              <w:lang w:val="fr-CA"/>
            </w:rPr>
            <w:t>. L’objectif d’un</w:t>
          </w:r>
          <w:r w:rsidR="00997D02">
            <w:rPr>
              <w:lang w:val="fr-CA"/>
            </w:rPr>
            <w:t>e</w:t>
          </w:r>
          <w:r w:rsidR="005E7D27">
            <w:rPr>
              <w:lang w:val="fr-CA"/>
            </w:rPr>
            <w:t xml:space="preserve"> remarque </w:t>
          </w:r>
          <w:r w:rsidRPr="00B60E51">
            <w:rPr>
              <w:lang w:val="fr-CA"/>
            </w:rPr>
            <w:t xml:space="preserve">accompagnant un </w:t>
          </w:r>
          <w:r w:rsidR="00E50970">
            <w:rPr>
              <w:lang w:val="fr-CA"/>
            </w:rPr>
            <w:t>article</w:t>
          </w:r>
          <w:r w:rsidRPr="00B60E51">
            <w:rPr>
              <w:lang w:val="fr-CA"/>
            </w:rPr>
            <w:t xml:space="preserve"> est de séparer le</w:t>
          </w:r>
          <w:r w:rsidR="00E50970">
            <w:rPr>
              <w:lang w:val="fr-CA"/>
            </w:rPr>
            <w:t xml:space="preserve">s éléments </w:t>
          </w:r>
          <w:r w:rsidRPr="00B60E51">
            <w:rPr>
              <w:lang w:val="fr-CA"/>
            </w:rPr>
            <w:t>explicatif</w:t>
          </w:r>
          <w:r w:rsidR="00E50970">
            <w:rPr>
              <w:lang w:val="fr-CA"/>
            </w:rPr>
            <w:t>s</w:t>
          </w:r>
          <w:r w:rsidRPr="00B60E51">
            <w:rPr>
              <w:lang w:val="fr-CA"/>
            </w:rPr>
            <w:t xml:space="preserve"> ou informatif</w:t>
          </w:r>
          <w:r w:rsidR="00E50970">
            <w:rPr>
              <w:lang w:val="fr-CA"/>
            </w:rPr>
            <w:t>s</w:t>
          </w:r>
          <w:r w:rsidRPr="00B60E51">
            <w:rPr>
              <w:lang w:val="fr-CA"/>
            </w:rPr>
            <w:t>.</w:t>
          </w:r>
        </w:p>
        <w:p w14:paraId="012AF8EE" w14:textId="30E5C504" w:rsidR="00956279" w:rsidRPr="00B60E51" w:rsidRDefault="00956279" w:rsidP="00956279">
          <w:pPr>
            <w:rPr>
              <w:lang w:val="fr-CA"/>
            </w:rPr>
          </w:pPr>
          <w:r w:rsidRPr="00B60E51">
            <w:rPr>
              <w:lang w:val="fr-CA"/>
            </w:rPr>
            <w:t xml:space="preserve">Les </w:t>
          </w:r>
          <w:r w:rsidR="00E50970">
            <w:rPr>
              <w:lang w:val="fr-CA"/>
            </w:rPr>
            <w:t xml:space="preserve">remarques relatives aux </w:t>
          </w:r>
          <w:r w:rsidRPr="00B60E51">
            <w:rPr>
              <w:lang w:val="fr-CA"/>
            </w:rPr>
            <w:t xml:space="preserve">tableaux et </w:t>
          </w:r>
          <w:r w:rsidR="00E50970">
            <w:rPr>
              <w:lang w:val="fr-CA"/>
            </w:rPr>
            <w:t>aux</w:t>
          </w:r>
          <w:r w:rsidRPr="00B60E51">
            <w:rPr>
              <w:lang w:val="fr-CA"/>
            </w:rPr>
            <w:t xml:space="preserve"> figures sont considérées comme faisant partie du tableau ou de la figure et peuvent être rédigées </w:t>
          </w:r>
          <w:r w:rsidR="00E50970">
            <w:rPr>
              <w:lang w:val="fr-CA"/>
            </w:rPr>
            <w:t>comme</w:t>
          </w:r>
          <w:r w:rsidRPr="00B60E51">
            <w:rPr>
              <w:lang w:val="fr-CA"/>
            </w:rPr>
            <w:t xml:space="preserve"> les exigences.</w:t>
          </w:r>
        </w:p>
        <w:p w14:paraId="25CDA309" w14:textId="77777777" w:rsidR="00E646B7" w:rsidRDefault="00956279" w:rsidP="0061670D">
          <w:pPr>
            <w:rPr>
              <w:lang w:val="fr-CA"/>
            </w:rPr>
          </w:pPr>
          <w:r w:rsidRPr="00B60E51">
            <w:rPr>
              <w:lang w:val="fr-CA"/>
            </w:rPr>
            <w:t>Les annexes sont désignées comme normatives (obligatoires) ou informatives (non obligatoires) pour définir leur application.</w:t>
          </w:r>
        </w:p>
        <w:p w14:paraId="7F0E813A" w14:textId="6BBE112D" w:rsidR="00D37907" w:rsidRPr="0061670D" w:rsidRDefault="00E646B7" w:rsidP="00E646B7">
          <w:pPr>
            <w:keepLines w:val="0"/>
            <w:spacing w:before="0" w:beforeAutospacing="0" w:line="259" w:lineRule="auto"/>
            <w:rPr>
              <w:lang w:val="fr-CA"/>
            </w:rPr>
          </w:pPr>
          <w:r>
            <w:rPr>
              <w:lang w:val="fr-CA"/>
            </w:rPr>
            <w:br w:type="page"/>
          </w:r>
        </w:p>
      </w:sdtContent>
    </w:sdt>
    <w:bookmarkStart w:id="541" w:name="_Toc154490813" w:displacedByCustomXml="prev"/>
    <w:bookmarkStart w:id="542" w:name="_Toc108778299" w:displacedByCustomXml="prev"/>
    <w:bookmarkStart w:id="543" w:name="_Toc108778165" w:displacedByCustomXml="prev"/>
    <w:p w14:paraId="27183F49" w14:textId="3AA24A70" w:rsidR="002A1952" w:rsidRDefault="002A1952" w:rsidP="002A1952">
      <w:pPr>
        <w:pStyle w:val="Heading1"/>
      </w:pPr>
      <w:bookmarkStart w:id="544" w:name="_Toc219706183"/>
      <w:proofErr w:type="spellStart"/>
      <w:r>
        <w:lastRenderedPageBreak/>
        <w:t>Références</w:t>
      </w:r>
      <w:bookmarkEnd w:id="544"/>
      <w:proofErr w:type="spellEnd"/>
      <w:r>
        <w:t xml:space="preserve"> </w:t>
      </w:r>
    </w:p>
    <w:p w14:paraId="6E6DFC45" w14:textId="2D44C44A" w:rsidR="0048031F" w:rsidRDefault="00607E34" w:rsidP="002D1773">
      <w:pPr>
        <w:rPr>
          <w:lang w:val="fr-CA"/>
        </w:rPr>
      </w:pPr>
      <w:r>
        <w:rPr>
          <w:lang w:val="fr-CA"/>
        </w:rPr>
        <w:t>La présente norme</w:t>
      </w:r>
      <w:r w:rsidR="002A1952" w:rsidRPr="00877353">
        <w:rPr>
          <w:lang w:val="fr-CA"/>
        </w:rPr>
        <w:t xml:space="preserve"> fait référence aux publications suivantes, et lorsqu</w:t>
      </w:r>
      <w:r w:rsidR="0062518D">
        <w:rPr>
          <w:lang w:val="fr-CA"/>
        </w:rPr>
        <w:t>’</w:t>
      </w:r>
      <w:r w:rsidR="002A1952" w:rsidRPr="00877353">
        <w:rPr>
          <w:lang w:val="fr-CA"/>
        </w:rPr>
        <w:t>une telle référence est faite, elle doit être à l</w:t>
      </w:r>
      <w:r w:rsidR="0062518D">
        <w:rPr>
          <w:lang w:val="fr-CA"/>
        </w:rPr>
        <w:t>’</w:t>
      </w:r>
      <w:r w:rsidR="002A1952" w:rsidRPr="00877353">
        <w:rPr>
          <w:lang w:val="fr-CA"/>
        </w:rPr>
        <w:t>édition listée ci-dessous</w:t>
      </w:r>
      <w:r w:rsidR="00BB3D95">
        <w:rPr>
          <w:lang w:val="fr-CA"/>
        </w:rPr>
        <w:t> </w:t>
      </w:r>
      <w:r w:rsidR="002A1952" w:rsidRPr="00877353">
        <w:rPr>
          <w:lang w:val="fr-CA"/>
        </w:rPr>
        <w:t>:</w:t>
      </w:r>
    </w:p>
    <w:p w14:paraId="51ECCD6F" w14:textId="3904201B" w:rsidR="000C3137" w:rsidRPr="000C3137" w:rsidRDefault="000C3137" w:rsidP="002D1773">
      <w:pPr>
        <w:rPr>
          <w:b/>
          <w:bCs/>
          <w:lang w:val="fr-CA"/>
        </w:rPr>
      </w:pPr>
      <w:r w:rsidRPr="000C3137">
        <w:rPr>
          <w:b/>
          <w:bCs/>
          <w:lang w:val="fr-CA"/>
        </w:rPr>
        <w:t>Normes d’accessibilité Canada</w:t>
      </w:r>
    </w:p>
    <w:p w14:paraId="3BF66C51" w14:textId="5718B12E" w:rsidR="00495224" w:rsidRDefault="00AF766B" w:rsidP="00C56C88">
      <w:pPr>
        <w:pStyle w:val="ListRef"/>
        <w:ind w:left="0" w:firstLine="0"/>
        <w:rPr>
          <w:lang w:val="fr-CA"/>
        </w:rPr>
      </w:pPr>
      <w:r w:rsidRPr="00877353">
        <w:rPr>
          <w:lang w:val="fr-CA"/>
        </w:rPr>
        <w:t>CAN-ASC-2.1 - Espaces extérieurs</w:t>
      </w:r>
      <w:r w:rsidR="000C3137">
        <w:rPr>
          <w:lang w:val="fr-CA"/>
        </w:rPr>
        <w:t xml:space="preserve"> (projet de norme)</w:t>
      </w:r>
    </w:p>
    <w:p w14:paraId="600B0068" w14:textId="72D943BB" w:rsidR="00273A8B" w:rsidRPr="0047240F" w:rsidRDefault="009A6712" w:rsidP="00273A8B">
      <w:pPr>
        <w:pStyle w:val="ListRef"/>
        <w:ind w:left="0" w:firstLine="0"/>
        <w:rPr>
          <w:b/>
          <w:bCs/>
          <w:lang w:val="fr-CA"/>
        </w:rPr>
      </w:pPr>
      <w:r>
        <w:rPr>
          <w:b/>
          <w:bCs/>
          <w:lang w:val="fr-CA"/>
        </w:rPr>
        <w:t>Littératie</w:t>
      </w:r>
      <w:r w:rsidR="00273A8B" w:rsidRPr="0047240F">
        <w:rPr>
          <w:b/>
          <w:bCs/>
          <w:lang w:val="fr-CA"/>
        </w:rPr>
        <w:t xml:space="preserve"> braille Canada</w:t>
      </w:r>
    </w:p>
    <w:p w14:paraId="3D617D26" w14:textId="5EF7A334" w:rsidR="00273A8B" w:rsidRPr="00AA423A" w:rsidRDefault="00273A8B" w:rsidP="00C56C88">
      <w:pPr>
        <w:pStyle w:val="ListRef"/>
        <w:ind w:left="0" w:firstLine="0"/>
        <w:rPr>
          <w:lang w:val="fr-CA"/>
        </w:rPr>
      </w:pPr>
      <w:r w:rsidRPr="00877353">
        <w:rPr>
          <w:lang w:val="fr-CA"/>
        </w:rPr>
        <w:t>Directives pour la signalisation accessible</w:t>
      </w:r>
      <w:r>
        <w:rPr>
          <w:lang w:val="fr-CA"/>
        </w:rPr>
        <w:t>. 2024</w:t>
      </w:r>
      <w:r w:rsidRPr="00877353">
        <w:rPr>
          <w:lang w:val="fr-CA"/>
        </w:rPr>
        <w:t xml:space="preserve"> </w:t>
      </w:r>
      <w:r w:rsidR="006B12B2">
        <w:rPr>
          <w:lang w:val="fr-CA"/>
        </w:rPr>
        <w:t>(</w:t>
      </w:r>
      <w:r w:rsidR="008A28BC">
        <w:rPr>
          <w:lang w:val="fr-CA"/>
        </w:rPr>
        <w:t>en anglais seulement</w:t>
      </w:r>
      <w:r w:rsidR="006B12B2">
        <w:rPr>
          <w:lang w:val="fr-CA"/>
        </w:rPr>
        <w:t>)</w:t>
      </w:r>
    </w:p>
    <w:p w14:paraId="5A3F3781" w14:textId="43F1F914" w:rsidR="003C5E45" w:rsidRDefault="003C5E45" w:rsidP="00C56C88">
      <w:pPr>
        <w:pStyle w:val="ListRef"/>
        <w:ind w:left="0" w:firstLine="0"/>
        <w:rPr>
          <w:b/>
          <w:bCs/>
          <w:lang w:val="fr-CA"/>
        </w:rPr>
      </w:pPr>
      <w:r w:rsidRPr="003C5E45">
        <w:rPr>
          <w:b/>
          <w:bCs/>
          <w:lang w:val="fr-CA"/>
        </w:rPr>
        <w:t>Groupe CSA</w:t>
      </w:r>
    </w:p>
    <w:p w14:paraId="102BBF71" w14:textId="0AC5550C" w:rsidR="00BF79F6" w:rsidRDefault="005676B1" w:rsidP="00C56C88">
      <w:pPr>
        <w:pStyle w:val="ListRef"/>
        <w:ind w:left="0" w:firstLine="0"/>
        <w:rPr>
          <w:lang w:val="fr-CA"/>
        </w:rPr>
      </w:pPr>
      <w:r w:rsidRPr="00877353">
        <w:rPr>
          <w:lang w:val="fr-CA"/>
        </w:rPr>
        <w:t>CAN/ASC B651:2023</w:t>
      </w:r>
      <w:r w:rsidR="000D4D92">
        <w:rPr>
          <w:lang w:val="fr-CA"/>
        </w:rPr>
        <w:t xml:space="preserve"> </w:t>
      </w:r>
      <w:r w:rsidRPr="00877353">
        <w:rPr>
          <w:lang w:val="fr-CA"/>
        </w:rPr>
        <w:t>Conception accessible pour l</w:t>
      </w:r>
      <w:r w:rsidR="0062518D">
        <w:rPr>
          <w:lang w:val="fr-CA"/>
        </w:rPr>
        <w:t>’</w:t>
      </w:r>
      <w:r w:rsidRPr="00877353">
        <w:rPr>
          <w:lang w:val="fr-CA"/>
        </w:rPr>
        <w:t>environnement bâti</w:t>
      </w:r>
    </w:p>
    <w:p w14:paraId="193584DB" w14:textId="678B5572" w:rsidR="000D4D92" w:rsidRPr="00640F68" w:rsidRDefault="000D4D92" w:rsidP="00C56C88">
      <w:pPr>
        <w:pStyle w:val="ListRef"/>
        <w:ind w:left="0" w:firstLine="0"/>
        <w:rPr>
          <w:b/>
          <w:lang w:val="fr-CA"/>
        </w:rPr>
      </w:pPr>
      <w:r w:rsidRPr="00640F68">
        <w:rPr>
          <w:b/>
          <w:lang w:val="fr-CA"/>
        </w:rPr>
        <w:t>Organisation internationale de normalisation</w:t>
      </w:r>
    </w:p>
    <w:p w14:paraId="4B42225B" w14:textId="115C7E1A" w:rsidR="000D4D92" w:rsidRPr="00640F68" w:rsidRDefault="0058783D" w:rsidP="00C56C88">
      <w:pPr>
        <w:pStyle w:val="ListRef"/>
        <w:ind w:left="0" w:firstLine="0"/>
        <w:rPr>
          <w:lang w:val="fr-CA"/>
        </w:rPr>
      </w:pPr>
      <w:r w:rsidRPr="00640F68">
        <w:rPr>
          <w:lang w:val="fr-CA"/>
        </w:rPr>
        <w:t xml:space="preserve">ISO 23599:2019 </w:t>
      </w:r>
      <w:proofErr w:type="spellStart"/>
      <w:r w:rsidR="00930B6B" w:rsidRPr="00640F68">
        <w:rPr>
          <w:lang w:val="fr-CA"/>
        </w:rPr>
        <w:t>Assistive</w:t>
      </w:r>
      <w:proofErr w:type="spellEnd"/>
      <w:r w:rsidR="00930B6B" w:rsidRPr="00640F68">
        <w:rPr>
          <w:lang w:val="fr-CA"/>
        </w:rPr>
        <w:t xml:space="preserve"> </w:t>
      </w:r>
      <w:proofErr w:type="spellStart"/>
      <w:r w:rsidR="00930B6B" w:rsidRPr="00640F68">
        <w:rPr>
          <w:lang w:val="fr-CA"/>
        </w:rPr>
        <w:t>products</w:t>
      </w:r>
      <w:proofErr w:type="spellEnd"/>
      <w:r w:rsidR="00930B6B" w:rsidRPr="00640F68">
        <w:rPr>
          <w:lang w:val="fr-CA"/>
        </w:rPr>
        <w:t xml:space="preserve"> for blind and vision-</w:t>
      </w:r>
      <w:proofErr w:type="spellStart"/>
      <w:r w:rsidR="00930B6B" w:rsidRPr="00640F68">
        <w:rPr>
          <w:lang w:val="fr-CA"/>
        </w:rPr>
        <w:t>impaired</w:t>
      </w:r>
      <w:proofErr w:type="spellEnd"/>
      <w:r w:rsidR="00930B6B" w:rsidRPr="00640F68">
        <w:rPr>
          <w:lang w:val="fr-CA"/>
        </w:rPr>
        <w:t xml:space="preserve"> </w:t>
      </w:r>
      <w:proofErr w:type="spellStart"/>
      <w:r w:rsidR="00930B6B" w:rsidRPr="00640F68">
        <w:rPr>
          <w:lang w:val="fr-CA"/>
        </w:rPr>
        <w:t>persons</w:t>
      </w:r>
      <w:proofErr w:type="spellEnd"/>
      <w:r w:rsidR="005F6C38" w:rsidRPr="00640F68">
        <w:rPr>
          <w:lang w:val="fr-CA"/>
        </w:rPr>
        <w:t xml:space="preserve"> </w:t>
      </w:r>
      <w:r w:rsidR="00FC406A" w:rsidRPr="00640F68">
        <w:rPr>
          <w:lang w:val="fr-CA"/>
        </w:rPr>
        <w:t>—</w:t>
      </w:r>
      <w:r w:rsidR="00CD4260" w:rsidRPr="00640F68">
        <w:rPr>
          <w:lang w:val="fr-CA"/>
        </w:rPr>
        <w:t xml:space="preserve"> </w:t>
      </w:r>
      <w:r w:rsidR="00930B6B" w:rsidRPr="00640F68">
        <w:rPr>
          <w:lang w:val="fr-CA"/>
        </w:rPr>
        <w:t xml:space="preserve">Tactile </w:t>
      </w:r>
      <w:proofErr w:type="spellStart"/>
      <w:r w:rsidR="00930B6B" w:rsidRPr="00640F68">
        <w:rPr>
          <w:lang w:val="fr-CA"/>
        </w:rPr>
        <w:t>walking</w:t>
      </w:r>
      <w:proofErr w:type="spellEnd"/>
      <w:r w:rsidR="00930B6B" w:rsidRPr="00640F68">
        <w:rPr>
          <w:lang w:val="fr-CA"/>
        </w:rPr>
        <w:t xml:space="preserve"> surface </w:t>
      </w:r>
      <w:proofErr w:type="spellStart"/>
      <w:r w:rsidR="00930B6B" w:rsidRPr="00640F68">
        <w:rPr>
          <w:lang w:val="fr-CA"/>
        </w:rPr>
        <w:t>indicators</w:t>
      </w:r>
      <w:proofErr w:type="spellEnd"/>
      <w:r w:rsidR="00930B6B" w:rsidRPr="00640F68">
        <w:rPr>
          <w:lang w:val="fr-CA"/>
        </w:rPr>
        <w:t xml:space="preserve"> (en anglais seulement)</w:t>
      </w:r>
    </w:p>
    <w:p w14:paraId="5AA1EA99" w14:textId="245E62BF" w:rsidR="00BF79F6" w:rsidRDefault="00930B6B" w:rsidP="00C56C88">
      <w:pPr>
        <w:pStyle w:val="ListRef"/>
        <w:ind w:left="0" w:firstLine="0"/>
        <w:rPr>
          <w:lang w:val="fr-CA"/>
        </w:rPr>
      </w:pPr>
      <w:r>
        <w:rPr>
          <w:lang w:val="fr-CA"/>
        </w:rPr>
        <w:t>ISO</w:t>
      </w:r>
      <w:r w:rsidR="003C1DE5">
        <w:rPr>
          <w:lang w:val="fr-CA"/>
        </w:rPr>
        <w:t> </w:t>
      </w:r>
      <w:r>
        <w:rPr>
          <w:lang w:val="fr-CA"/>
        </w:rPr>
        <w:t xml:space="preserve">21542:2019 </w:t>
      </w:r>
      <w:r w:rsidR="00BF79F6" w:rsidRPr="00BF79F6">
        <w:rPr>
          <w:lang w:val="fr-CA"/>
        </w:rPr>
        <w:t>C</w:t>
      </w:r>
      <w:r w:rsidR="00255319">
        <w:rPr>
          <w:lang w:val="fr-CA"/>
        </w:rPr>
        <w:t xml:space="preserve">adre </w:t>
      </w:r>
      <w:r w:rsidR="006365A7">
        <w:rPr>
          <w:lang w:val="fr-CA"/>
        </w:rPr>
        <w:t>bâti</w:t>
      </w:r>
      <w:r w:rsidR="00BF79F6" w:rsidRPr="00BF79F6">
        <w:rPr>
          <w:lang w:val="fr-CA"/>
        </w:rPr>
        <w:t xml:space="preserve"> — Accessibilité et u</w:t>
      </w:r>
      <w:r w:rsidR="006365A7">
        <w:rPr>
          <w:lang w:val="fr-CA"/>
        </w:rPr>
        <w:t>sage de</w:t>
      </w:r>
      <w:r w:rsidR="00BF79F6" w:rsidRPr="00BF79F6">
        <w:rPr>
          <w:lang w:val="fr-CA"/>
        </w:rPr>
        <w:t xml:space="preserve"> l</w:t>
      </w:r>
      <w:r w:rsidR="0062518D">
        <w:rPr>
          <w:lang w:val="fr-CA"/>
        </w:rPr>
        <w:t>’</w:t>
      </w:r>
      <w:r w:rsidR="00BF79F6" w:rsidRPr="00BF79F6">
        <w:rPr>
          <w:lang w:val="fr-CA"/>
        </w:rPr>
        <w:t>environnement bâti</w:t>
      </w:r>
    </w:p>
    <w:p w14:paraId="4352CF96" w14:textId="53FEEECF" w:rsidR="00BF79F6" w:rsidRPr="000D4D92" w:rsidRDefault="003F37DA" w:rsidP="00C56C88">
      <w:pPr>
        <w:pStyle w:val="ListRef"/>
        <w:ind w:left="0" w:firstLine="0"/>
        <w:rPr>
          <w:b/>
          <w:bCs/>
          <w:lang w:val="fr-CA"/>
        </w:rPr>
      </w:pPr>
      <w:r>
        <w:rPr>
          <w:lang w:val="fr-CA"/>
        </w:rPr>
        <w:t>ISO</w:t>
      </w:r>
      <w:r w:rsidR="003C1DE5">
        <w:rPr>
          <w:lang w:val="fr-CA"/>
        </w:rPr>
        <w:t> </w:t>
      </w:r>
      <w:r>
        <w:rPr>
          <w:lang w:val="fr-CA"/>
        </w:rPr>
        <w:t xml:space="preserve">7001:2023 </w:t>
      </w:r>
      <w:r w:rsidR="00BF79F6" w:rsidRPr="00BF79F6">
        <w:rPr>
          <w:lang w:val="fr-CA"/>
        </w:rPr>
        <w:t xml:space="preserve">Symboles graphiques </w:t>
      </w:r>
      <w:r w:rsidR="005B2689">
        <w:rPr>
          <w:lang w:val="fr-CA"/>
        </w:rPr>
        <w:t>—</w:t>
      </w:r>
      <w:r w:rsidR="00BF79F6" w:rsidRPr="00BF79F6">
        <w:rPr>
          <w:lang w:val="fr-CA"/>
        </w:rPr>
        <w:t xml:space="preserve"> Symboles d</w:t>
      </w:r>
      <w:r w:rsidR="00672007">
        <w:rPr>
          <w:lang w:val="fr-CA"/>
        </w:rPr>
        <w:t>estin</w:t>
      </w:r>
      <w:r w:rsidR="00672007">
        <w:rPr>
          <w:rFonts w:cs="Arial"/>
          <w:lang w:val="fr-CA"/>
        </w:rPr>
        <w:t>é</w:t>
      </w:r>
      <w:r w:rsidR="00672007">
        <w:rPr>
          <w:lang w:val="fr-CA"/>
        </w:rPr>
        <w:t>s à l’information du</w:t>
      </w:r>
      <w:r w:rsidR="00BF79F6" w:rsidRPr="00BF79F6">
        <w:rPr>
          <w:lang w:val="fr-CA"/>
        </w:rPr>
        <w:t xml:space="preserve"> </w:t>
      </w:r>
      <w:r w:rsidR="00C10C0D" w:rsidRPr="00BF79F6">
        <w:rPr>
          <w:lang w:val="fr-CA"/>
        </w:rPr>
        <w:t>publi</w:t>
      </w:r>
      <w:r w:rsidR="00C10C0D">
        <w:rPr>
          <w:lang w:val="fr-CA"/>
        </w:rPr>
        <w:t>c</w:t>
      </w:r>
      <w:r w:rsidR="00C10C0D" w:rsidRPr="00BF79F6">
        <w:rPr>
          <w:lang w:val="fr-CA"/>
        </w:rPr>
        <w:t xml:space="preserve"> </w:t>
      </w:r>
      <w:r w:rsidR="00BF79F6" w:rsidRPr="00BF79F6">
        <w:rPr>
          <w:lang w:val="fr-CA"/>
        </w:rPr>
        <w:t>enregistrés</w:t>
      </w:r>
    </w:p>
    <w:p w14:paraId="22C70582" w14:textId="7C8FA12B" w:rsidR="00B176A7" w:rsidRPr="00521583" w:rsidRDefault="00521583" w:rsidP="00C56C88">
      <w:pPr>
        <w:pStyle w:val="ListRef"/>
        <w:ind w:left="0" w:firstLine="0"/>
        <w:rPr>
          <w:b/>
          <w:bCs/>
          <w:lang w:val="fr-CA"/>
        </w:rPr>
      </w:pPr>
      <w:r w:rsidRPr="00521583">
        <w:rPr>
          <w:b/>
          <w:bCs/>
          <w:lang w:val="fr-CA"/>
        </w:rPr>
        <w:t>Autre publication</w:t>
      </w:r>
    </w:p>
    <w:p w14:paraId="07EFC1A6" w14:textId="5467EEF6" w:rsidR="002D1773" w:rsidRPr="00877353" w:rsidRDefault="002D1773" w:rsidP="002D1773">
      <w:pPr>
        <w:pStyle w:val="ListRef"/>
        <w:ind w:left="0" w:firstLine="0"/>
        <w:rPr>
          <w:lang w:val="fr-CA"/>
        </w:rPr>
      </w:pPr>
      <w:r w:rsidRPr="00F0007F">
        <w:rPr>
          <w:i/>
          <w:iCs/>
          <w:lang w:val="fr-CA"/>
        </w:rPr>
        <w:t>Loi sur l</w:t>
      </w:r>
      <w:r w:rsidR="0062518D">
        <w:rPr>
          <w:i/>
          <w:iCs/>
          <w:lang w:val="fr-CA"/>
        </w:rPr>
        <w:t>’</w:t>
      </w:r>
      <w:r w:rsidRPr="00F0007F">
        <w:rPr>
          <w:i/>
          <w:iCs/>
          <w:lang w:val="fr-CA"/>
        </w:rPr>
        <w:t>accessibilité au Canada</w:t>
      </w:r>
      <w:r w:rsidR="00F0007F">
        <w:rPr>
          <w:i/>
          <w:iCs/>
          <w:lang w:val="fr-CA"/>
        </w:rPr>
        <w:t xml:space="preserve">, </w:t>
      </w:r>
      <w:r w:rsidR="00F0007F" w:rsidRPr="00F0007F">
        <w:rPr>
          <w:lang w:val="fr-CA"/>
        </w:rPr>
        <w:t>2019</w:t>
      </w:r>
    </w:p>
    <w:p w14:paraId="338FE7AC" w14:textId="77777777" w:rsidR="00D37907" w:rsidRPr="00BF79F6" w:rsidRDefault="00D37907">
      <w:pPr>
        <w:keepLines w:val="0"/>
        <w:spacing w:before="0" w:beforeAutospacing="0" w:line="259" w:lineRule="auto"/>
        <w:rPr>
          <w:rFonts w:eastAsiaTheme="majorEastAsia" w:cstheme="majorBidi"/>
          <w:b/>
          <w:sz w:val="56"/>
          <w:szCs w:val="32"/>
          <w:lang w:val="fr-CA"/>
        </w:rPr>
      </w:pPr>
      <w:r w:rsidRPr="00BF79F6">
        <w:rPr>
          <w:lang w:val="fr-CA"/>
        </w:rPr>
        <w:br w:type="page"/>
      </w:r>
    </w:p>
    <w:p w14:paraId="0EF603C3" w14:textId="6B80497B" w:rsidR="00543559" w:rsidRPr="00B83600" w:rsidRDefault="002B6C3E" w:rsidP="0039031C">
      <w:pPr>
        <w:pStyle w:val="Heading1"/>
        <w:ind w:left="567" w:hanging="567"/>
      </w:pPr>
      <w:bookmarkStart w:id="545" w:name="_Toc219706184"/>
      <w:proofErr w:type="spellStart"/>
      <w:r w:rsidRPr="00167F7D">
        <w:lastRenderedPageBreak/>
        <w:t>Définitions</w:t>
      </w:r>
      <w:proofErr w:type="spellEnd"/>
      <w:r w:rsidRPr="00167F7D">
        <w:t xml:space="preserve">, </w:t>
      </w:r>
      <w:proofErr w:type="spellStart"/>
      <w:r w:rsidRPr="00167F7D">
        <w:t>symboles</w:t>
      </w:r>
      <w:proofErr w:type="spellEnd"/>
      <w:r w:rsidRPr="00167F7D">
        <w:t xml:space="preserve"> et </w:t>
      </w:r>
      <w:proofErr w:type="spellStart"/>
      <w:r w:rsidRPr="00167F7D">
        <w:t>abréviations</w:t>
      </w:r>
      <w:bookmarkEnd w:id="545"/>
      <w:proofErr w:type="spellEnd"/>
    </w:p>
    <w:p w14:paraId="37EF4AA1" w14:textId="09E08490" w:rsidR="003E674C" w:rsidRDefault="003E674C" w:rsidP="003E674C">
      <w:pPr>
        <w:pStyle w:val="Heading2"/>
      </w:pPr>
      <w:bookmarkStart w:id="546" w:name="_Toc219706185"/>
      <w:bookmarkEnd w:id="543"/>
      <w:bookmarkEnd w:id="542"/>
      <w:bookmarkEnd w:id="541"/>
      <w:proofErr w:type="spellStart"/>
      <w:r>
        <w:t>Définitions</w:t>
      </w:r>
      <w:bookmarkEnd w:id="546"/>
      <w:proofErr w:type="spellEnd"/>
    </w:p>
    <w:p w14:paraId="0876BA17" w14:textId="2F593F54" w:rsidR="00B54539" w:rsidRPr="00877353" w:rsidRDefault="00116B4A" w:rsidP="00B54539">
      <w:pPr>
        <w:rPr>
          <w:lang w:val="fr-CA"/>
        </w:rPr>
      </w:pPr>
      <w:r w:rsidRPr="00877353">
        <w:rPr>
          <w:lang w:val="fr-CA"/>
        </w:rPr>
        <w:t>Les définitions suivantes s</w:t>
      </w:r>
      <w:r w:rsidR="0062518D">
        <w:rPr>
          <w:lang w:val="fr-CA"/>
        </w:rPr>
        <w:t>’</w:t>
      </w:r>
      <w:r w:rsidRPr="00877353">
        <w:rPr>
          <w:lang w:val="fr-CA"/>
        </w:rPr>
        <w:t xml:space="preserve">appliqueront dans </w:t>
      </w:r>
      <w:r w:rsidR="00E149C8">
        <w:rPr>
          <w:lang w:val="fr-CA"/>
        </w:rPr>
        <w:t>la présente</w:t>
      </w:r>
      <w:r w:rsidRPr="00877353">
        <w:rPr>
          <w:lang w:val="fr-CA"/>
        </w:rPr>
        <w:t xml:space="preserve"> norme</w:t>
      </w:r>
      <w:r w:rsidR="00BB3D95">
        <w:rPr>
          <w:lang w:val="fr-CA"/>
        </w:rPr>
        <w:t> </w:t>
      </w:r>
      <w:r w:rsidRPr="00877353">
        <w:rPr>
          <w:lang w:val="fr-CA"/>
        </w:rPr>
        <w:t>:</w:t>
      </w:r>
    </w:p>
    <w:p w14:paraId="4DCDC2C5" w14:textId="095BFCCD" w:rsidR="00B54539" w:rsidRDefault="00B54539" w:rsidP="00B54539">
      <w:pPr>
        <w:rPr>
          <w:lang w:val="fr-CA"/>
        </w:rPr>
      </w:pPr>
      <w:r w:rsidRPr="00877353">
        <w:rPr>
          <w:rStyle w:val="EmphasisUseSparingly"/>
          <w:lang w:val="fr-CA"/>
        </w:rPr>
        <w:t xml:space="preserve">Accessible </w:t>
      </w:r>
      <w:r w:rsidRPr="00877353">
        <w:rPr>
          <w:lang w:val="fr-CA"/>
        </w:rPr>
        <w:t xml:space="preserve">— </w:t>
      </w:r>
      <w:r w:rsidR="0036325F" w:rsidRPr="0036325F">
        <w:rPr>
          <w:lang w:val="fr-CA"/>
        </w:rPr>
        <w:t>t</w:t>
      </w:r>
      <w:r w:rsidRPr="00877353">
        <w:rPr>
          <w:lang w:val="fr-CA"/>
        </w:rPr>
        <w:t>out espace, caractéristique, élément, site, environnement ou installation pouvant être utilisé (</w:t>
      </w:r>
      <w:r w:rsidR="00C839F1">
        <w:rPr>
          <w:lang w:val="fr-CA"/>
        </w:rPr>
        <w:t>p.ex.</w:t>
      </w:r>
      <w:r w:rsidRPr="00877353">
        <w:rPr>
          <w:lang w:val="fr-CA"/>
        </w:rPr>
        <w:t>, localisé, approché, entré, sorti ou exploité) par des personnes ayant des capacités diverses assurant un accès, une navigation et un fonctionnement équitables. Ce terme peut aussi s</w:t>
      </w:r>
      <w:r w:rsidR="0062518D">
        <w:rPr>
          <w:lang w:val="fr-CA"/>
        </w:rPr>
        <w:t>’</w:t>
      </w:r>
      <w:r w:rsidRPr="00877353">
        <w:rPr>
          <w:lang w:val="fr-CA"/>
        </w:rPr>
        <w:t>appliquer aux services, pratiques et programmes.</w:t>
      </w:r>
    </w:p>
    <w:p w14:paraId="11B8377B" w14:textId="3467284B" w:rsidR="000A2A5D" w:rsidRDefault="000A2A5D" w:rsidP="00B54539">
      <w:pPr>
        <w:rPr>
          <w:lang w:val="fr-CA"/>
        </w:rPr>
      </w:pPr>
      <w:r w:rsidRPr="00877353">
        <w:rPr>
          <w:rStyle w:val="EmphasisUseSparingly"/>
          <w:lang w:val="fr-CA"/>
        </w:rPr>
        <w:t xml:space="preserve">Bollard </w:t>
      </w:r>
      <w:r w:rsidRPr="00877353">
        <w:rPr>
          <w:lang w:val="fr-CA"/>
        </w:rPr>
        <w:t xml:space="preserve">— </w:t>
      </w:r>
      <w:r>
        <w:rPr>
          <w:lang w:val="fr-CA"/>
        </w:rPr>
        <w:t>p</w:t>
      </w:r>
      <w:r w:rsidRPr="00877353">
        <w:rPr>
          <w:lang w:val="fr-CA"/>
        </w:rPr>
        <w:t>oteau court utilisé pour créer un périmètre protecteur ou architectural. Ce sont des poteaux verticaux qui existent en différentes formes et tailles. Ils sont parfois utilisés pour guider la circulation ou pour former une barrière architecturale autour d</w:t>
      </w:r>
      <w:r w:rsidR="0025478E">
        <w:rPr>
          <w:lang w:val="fr-CA"/>
        </w:rPr>
        <w:t>’</w:t>
      </w:r>
      <w:r w:rsidRPr="00877353">
        <w:rPr>
          <w:lang w:val="fr-CA"/>
        </w:rPr>
        <w:t>un bâtiment. En tant qu</w:t>
      </w:r>
      <w:r w:rsidR="0025478E">
        <w:rPr>
          <w:lang w:val="fr-CA"/>
        </w:rPr>
        <w:t>’</w:t>
      </w:r>
      <w:r w:rsidRPr="00877353">
        <w:rPr>
          <w:lang w:val="fr-CA"/>
        </w:rPr>
        <w:t>éléments architecturaux, ils existent dans une grande variété de formes et de styles pour accentuer ou se démarquer visuellement dans leur environnement. Ils sont souvent faits de métal, de pierre, de ciment ou de plastique et peuvent inclure des éléments décoratifs.</w:t>
      </w:r>
    </w:p>
    <w:p w14:paraId="669F0EF6" w14:textId="03FF83D0" w:rsidR="000A2A5D" w:rsidRDefault="000A2A5D" w:rsidP="000A2A5D">
      <w:pPr>
        <w:rPr>
          <w:lang w:val="fr-CA"/>
        </w:rPr>
      </w:pPr>
      <w:r w:rsidRPr="00877353">
        <w:rPr>
          <w:rStyle w:val="EmphasisUseSparingly"/>
          <w:lang w:val="fr-CA"/>
        </w:rPr>
        <w:t xml:space="preserve">Braille </w:t>
      </w:r>
      <w:r w:rsidRPr="00877353">
        <w:rPr>
          <w:lang w:val="fr-CA"/>
        </w:rPr>
        <w:t xml:space="preserve">— </w:t>
      </w:r>
      <w:r>
        <w:rPr>
          <w:lang w:val="fr-CA"/>
        </w:rPr>
        <w:t>u</w:t>
      </w:r>
      <w:r w:rsidRPr="00877353">
        <w:rPr>
          <w:lang w:val="fr-CA"/>
        </w:rPr>
        <w:t>ne méthode qui utilise des points en relief</w:t>
      </w:r>
      <w:r>
        <w:rPr>
          <w:lang w:val="fr-CA"/>
        </w:rPr>
        <w:t xml:space="preserve"> pour signifier </w:t>
      </w:r>
      <w:r w:rsidRPr="00877353">
        <w:rPr>
          <w:lang w:val="fr-CA"/>
        </w:rPr>
        <w:t xml:space="preserve">des lettres et des chiffres. Au Canada, le </w:t>
      </w:r>
      <w:r>
        <w:rPr>
          <w:lang w:val="fr-CA"/>
        </w:rPr>
        <w:t>«</w:t>
      </w:r>
      <w:r w:rsidR="00A92827">
        <w:rPr>
          <w:lang w:val="fr-CA"/>
        </w:rPr>
        <w:t> </w:t>
      </w:r>
      <w:proofErr w:type="spellStart"/>
      <w:r>
        <w:rPr>
          <w:lang w:val="fr-CA"/>
        </w:rPr>
        <w:t>Unified</w:t>
      </w:r>
      <w:proofErr w:type="spellEnd"/>
      <w:r>
        <w:rPr>
          <w:lang w:val="fr-CA"/>
        </w:rPr>
        <w:t xml:space="preserve"> English Braille</w:t>
      </w:r>
      <w:r w:rsidR="00A92827">
        <w:rPr>
          <w:lang w:val="fr-CA"/>
        </w:rPr>
        <w:t> </w:t>
      </w:r>
      <w:r>
        <w:rPr>
          <w:lang w:val="fr-CA"/>
        </w:rPr>
        <w:t>»</w:t>
      </w:r>
      <w:r w:rsidRPr="00877353">
        <w:rPr>
          <w:lang w:val="fr-CA"/>
        </w:rPr>
        <w:t xml:space="preserve"> (UEB) sert de norme pour le braille en anglais. Le code braille français uniformisé pour la transcription des textes imprimés est le code à utiliser pour l</w:t>
      </w:r>
      <w:r w:rsidR="0025478E">
        <w:rPr>
          <w:lang w:val="fr-CA"/>
        </w:rPr>
        <w:t>’</w:t>
      </w:r>
      <w:r w:rsidRPr="00877353">
        <w:rPr>
          <w:lang w:val="fr-CA"/>
        </w:rPr>
        <w:t>information fournie en français.</w:t>
      </w:r>
    </w:p>
    <w:p w14:paraId="0E483129" w14:textId="5D0B927D" w:rsidR="005F3BD1" w:rsidRDefault="005F3BD1" w:rsidP="000A2A5D">
      <w:pPr>
        <w:rPr>
          <w:lang w:val="fr-CA"/>
        </w:rPr>
      </w:pPr>
      <w:r w:rsidRPr="00877353">
        <w:rPr>
          <w:rStyle w:val="EmphasisUseSparingly"/>
          <w:lang w:val="fr-CA"/>
        </w:rPr>
        <w:t xml:space="preserve">Braille non contracté </w:t>
      </w:r>
      <w:r w:rsidRPr="00877353">
        <w:rPr>
          <w:lang w:val="fr-CA"/>
        </w:rPr>
        <w:t xml:space="preserve">— </w:t>
      </w:r>
      <w:r>
        <w:rPr>
          <w:lang w:val="fr-CA"/>
        </w:rPr>
        <w:t>u</w:t>
      </w:r>
      <w:r w:rsidRPr="00877353">
        <w:rPr>
          <w:lang w:val="fr-CA"/>
        </w:rPr>
        <w:t xml:space="preserve">ne transcription lettre par lettre du texte, des chiffres et de la ponctuation également identifiée comme braille de </w:t>
      </w:r>
      <w:r>
        <w:rPr>
          <w:lang w:val="fr-CA"/>
        </w:rPr>
        <w:t>niveau</w:t>
      </w:r>
      <w:r w:rsidR="003C1DE5">
        <w:rPr>
          <w:lang w:val="fr-CA"/>
        </w:rPr>
        <w:t> </w:t>
      </w:r>
      <w:r w:rsidRPr="00877353">
        <w:rPr>
          <w:lang w:val="fr-CA"/>
        </w:rPr>
        <w:t>1.</w:t>
      </w:r>
    </w:p>
    <w:p w14:paraId="36CB53CE" w14:textId="67692130" w:rsidR="00022C6E" w:rsidRDefault="00022C6E" w:rsidP="000A2A5D">
      <w:pPr>
        <w:rPr>
          <w:lang w:val="fr-CA"/>
        </w:rPr>
      </w:pPr>
      <w:r w:rsidRPr="00877353">
        <w:rPr>
          <w:rStyle w:val="EmphasisUseSparingly"/>
          <w:lang w:val="fr-CA"/>
        </w:rPr>
        <w:lastRenderedPageBreak/>
        <w:t xml:space="preserve">Communication </w:t>
      </w:r>
      <w:r w:rsidRPr="00877353">
        <w:rPr>
          <w:lang w:val="fr-CA"/>
        </w:rPr>
        <w:t xml:space="preserve">— </w:t>
      </w:r>
      <w:r>
        <w:rPr>
          <w:lang w:val="fr-CA"/>
        </w:rPr>
        <w:t>i</w:t>
      </w:r>
      <w:r w:rsidRPr="00877353">
        <w:rPr>
          <w:lang w:val="fr-CA"/>
        </w:rPr>
        <w:t>nclut les langues, l</w:t>
      </w:r>
      <w:r w:rsidR="0025478E">
        <w:rPr>
          <w:lang w:val="fr-CA"/>
        </w:rPr>
        <w:t>’</w:t>
      </w:r>
      <w:r w:rsidRPr="00877353">
        <w:rPr>
          <w:lang w:val="fr-CA"/>
        </w:rPr>
        <w:t>affichage du texte, le braille, la communication tactile, les gros caractères, le multimédia accessible ainsi que l</w:t>
      </w:r>
      <w:r w:rsidR="0025478E">
        <w:rPr>
          <w:lang w:val="fr-CA"/>
        </w:rPr>
        <w:t>’</w:t>
      </w:r>
      <w:r w:rsidRPr="00877353">
        <w:rPr>
          <w:lang w:val="fr-CA"/>
        </w:rPr>
        <w:t>écrit, l</w:t>
      </w:r>
      <w:r w:rsidR="0025478E">
        <w:rPr>
          <w:lang w:val="fr-CA"/>
        </w:rPr>
        <w:t>’</w:t>
      </w:r>
      <w:r w:rsidRPr="00877353">
        <w:rPr>
          <w:lang w:val="fr-CA"/>
        </w:rPr>
        <w:t>audio, le langage clair, le lecteur humain, ainsi que les modes, moyens et formats de communication augmentatifs et alternatifs, y compris les technologies de l</w:t>
      </w:r>
      <w:r w:rsidR="0025478E">
        <w:rPr>
          <w:lang w:val="fr-CA"/>
        </w:rPr>
        <w:t>’</w:t>
      </w:r>
      <w:r w:rsidRPr="00877353">
        <w:rPr>
          <w:lang w:val="fr-CA"/>
        </w:rPr>
        <w:t>information et de la communication accessibles.</w:t>
      </w:r>
    </w:p>
    <w:p w14:paraId="0B8CCE57" w14:textId="48C3C2C8" w:rsidR="005F3BD1" w:rsidRPr="00877353" w:rsidRDefault="005F3BD1" w:rsidP="005F3BD1">
      <w:pPr>
        <w:rPr>
          <w:lang w:val="fr-CA"/>
        </w:rPr>
      </w:pPr>
      <w:r w:rsidRPr="00877353">
        <w:rPr>
          <w:rStyle w:val="EmphasisUseSparingly"/>
          <w:lang w:val="fr-CA"/>
        </w:rPr>
        <w:t xml:space="preserve">Contraste de Michelson </w:t>
      </w:r>
      <w:r w:rsidRPr="00877353">
        <w:rPr>
          <w:lang w:val="fr-CA"/>
        </w:rPr>
        <w:t xml:space="preserve">— </w:t>
      </w:r>
      <w:r>
        <w:rPr>
          <w:lang w:val="fr-CA"/>
        </w:rPr>
        <w:t>c</w:t>
      </w:r>
      <w:r w:rsidRPr="00877353">
        <w:rPr>
          <w:lang w:val="fr-CA"/>
        </w:rPr>
        <w:t>ontraste (modulation) qui mesure la relation entre l</w:t>
      </w:r>
      <w:r w:rsidR="0025478E">
        <w:rPr>
          <w:lang w:val="fr-CA"/>
        </w:rPr>
        <w:t>’</w:t>
      </w:r>
      <w:r w:rsidRPr="00877353">
        <w:rPr>
          <w:lang w:val="fr-CA"/>
        </w:rPr>
        <w:t>étalement et la somme des deux luminances.</w:t>
      </w:r>
    </w:p>
    <w:p w14:paraId="0E2EF6CF" w14:textId="6B344910" w:rsidR="005F3BD1" w:rsidRPr="00877353" w:rsidRDefault="005F3BD1" w:rsidP="005F3BD1">
      <w:pPr>
        <w:rPr>
          <w:lang w:val="fr-CA"/>
        </w:rPr>
      </w:pPr>
      <w:r w:rsidRPr="00877353">
        <w:rPr>
          <w:rStyle w:val="EmphasisUseSparingly"/>
          <w:lang w:val="fr-CA"/>
        </w:rPr>
        <w:t xml:space="preserve">Contraste de Weber </w:t>
      </w:r>
      <w:r w:rsidRPr="00877353">
        <w:rPr>
          <w:lang w:val="fr-CA"/>
        </w:rPr>
        <w:t xml:space="preserve">— </w:t>
      </w:r>
      <w:r>
        <w:rPr>
          <w:lang w:val="fr-CA"/>
        </w:rPr>
        <w:t>r</w:t>
      </w:r>
      <w:r w:rsidRPr="00877353">
        <w:rPr>
          <w:lang w:val="fr-CA"/>
        </w:rPr>
        <w:t>elation entre la luminance d</w:t>
      </w:r>
      <w:r w:rsidR="0025478E">
        <w:rPr>
          <w:lang w:val="fr-CA"/>
        </w:rPr>
        <w:t>’</w:t>
      </w:r>
      <w:r w:rsidRPr="00877353">
        <w:rPr>
          <w:lang w:val="fr-CA"/>
        </w:rPr>
        <w:t>une zone d</w:t>
      </w:r>
      <w:r w:rsidR="0025478E">
        <w:rPr>
          <w:lang w:val="fr-CA"/>
        </w:rPr>
        <w:t>’</w:t>
      </w:r>
      <w:r w:rsidRPr="00877353">
        <w:rPr>
          <w:lang w:val="fr-CA"/>
        </w:rPr>
        <w:t>intérêt plus claire et celle d</w:t>
      </w:r>
      <w:r w:rsidR="0025478E">
        <w:rPr>
          <w:lang w:val="fr-CA"/>
        </w:rPr>
        <w:t>’</w:t>
      </w:r>
      <w:r w:rsidRPr="00877353">
        <w:rPr>
          <w:lang w:val="fr-CA"/>
        </w:rPr>
        <w:t>une zone sombre adjacente.</w:t>
      </w:r>
    </w:p>
    <w:p w14:paraId="704DE9B1" w14:textId="475A8C19" w:rsidR="005F3BD1" w:rsidRPr="00877353" w:rsidRDefault="00B675EB" w:rsidP="005F3BD1">
      <w:pPr>
        <w:rPr>
          <w:lang w:val="fr-CA"/>
        </w:rPr>
      </w:pPr>
      <w:r>
        <w:rPr>
          <w:lang w:val="fr-CA"/>
        </w:rPr>
        <w:t>Remarqu</w:t>
      </w:r>
      <w:r w:rsidR="005F3BD1" w:rsidRPr="00877353">
        <w:rPr>
          <w:lang w:val="fr-CA"/>
        </w:rPr>
        <w:t>e</w:t>
      </w:r>
      <w:r w:rsidR="00BB3D95">
        <w:rPr>
          <w:lang w:val="fr-CA"/>
        </w:rPr>
        <w:t> </w:t>
      </w:r>
      <w:r w:rsidR="005F3BD1" w:rsidRPr="00877353">
        <w:rPr>
          <w:lang w:val="fr-CA"/>
        </w:rPr>
        <w:t xml:space="preserve">: Mathématiquement, la différence entre les </w:t>
      </w:r>
      <w:proofErr w:type="gramStart"/>
      <w:r w:rsidR="005F3BD1" w:rsidRPr="00877353">
        <w:rPr>
          <w:lang w:val="fr-CA"/>
        </w:rPr>
        <w:t>deux luminances divisée</w:t>
      </w:r>
      <w:proofErr w:type="gramEnd"/>
      <w:r w:rsidR="005F3BD1" w:rsidRPr="00877353">
        <w:rPr>
          <w:lang w:val="fr-CA"/>
        </w:rPr>
        <w:t xml:space="preserve"> par la luminance inférieure.</w:t>
      </w:r>
    </w:p>
    <w:p w14:paraId="587A4B13" w14:textId="471E8BFC" w:rsidR="000A2A5D" w:rsidRPr="00877353" w:rsidRDefault="000A2A5D" w:rsidP="00B54539">
      <w:pPr>
        <w:rPr>
          <w:lang w:val="fr-CA"/>
        </w:rPr>
      </w:pPr>
      <w:r>
        <w:rPr>
          <w:rStyle w:val="EmphasisUseSparingly"/>
          <w:lang w:val="fr-CA"/>
        </w:rPr>
        <w:t>D</w:t>
      </w:r>
      <w:r w:rsidRPr="00877353">
        <w:rPr>
          <w:rStyle w:val="EmphasisUseSparingly"/>
          <w:lang w:val="fr-CA"/>
        </w:rPr>
        <w:t>étectable</w:t>
      </w:r>
      <w:r>
        <w:rPr>
          <w:rStyle w:val="EmphasisUseSparingly"/>
          <w:lang w:val="fr-CA"/>
        </w:rPr>
        <w:t xml:space="preserve"> par la canne</w:t>
      </w:r>
      <w:r w:rsidRPr="00877353">
        <w:rPr>
          <w:rStyle w:val="EmphasisUseSparingly"/>
          <w:lang w:val="fr-CA"/>
        </w:rPr>
        <w:t xml:space="preserve"> </w:t>
      </w:r>
      <w:r w:rsidRPr="00877353">
        <w:rPr>
          <w:lang w:val="fr-CA"/>
        </w:rPr>
        <w:t xml:space="preserve">— </w:t>
      </w:r>
      <w:r>
        <w:rPr>
          <w:lang w:val="fr-CA"/>
        </w:rPr>
        <w:t>m</w:t>
      </w:r>
      <w:r w:rsidRPr="00877353">
        <w:rPr>
          <w:lang w:val="fr-CA"/>
        </w:rPr>
        <w:t>odification de la texture d</w:t>
      </w:r>
      <w:r w:rsidR="0025478E">
        <w:rPr>
          <w:lang w:val="fr-CA"/>
        </w:rPr>
        <w:t>’</w:t>
      </w:r>
      <w:r w:rsidRPr="00877353">
        <w:rPr>
          <w:lang w:val="fr-CA"/>
        </w:rPr>
        <w:t>un objet ou d</w:t>
      </w:r>
      <w:r w:rsidR="0025478E">
        <w:rPr>
          <w:lang w:val="fr-CA"/>
        </w:rPr>
        <w:t>’</w:t>
      </w:r>
      <w:r w:rsidRPr="00877353">
        <w:rPr>
          <w:lang w:val="fr-CA"/>
        </w:rPr>
        <w:t>une surface qui peut être identifiée à portée d</w:t>
      </w:r>
      <w:r w:rsidR="0025478E">
        <w:rPr>
          <w:lang w:val="fr-CA"/>
        </w:rPr>
        <w:t>’</w:t>
      </w:r>
      <w:r w:rsidRPr="00877353">
        <w:rPr>
          <w:lang w:val="fr-CA"/>
        </w:rPr>
        <w:t>une longue canne blanche.</w:t>
      </w:r>
    </w:p>
    <w:p w14:paraId="69B5E52B" w14:textId="7BDE26E9" w:rsidR="00B54539" w:rsidRPr="00877353" w:rsidRDefault="00B54539" w:rsidP="00B54539">
      <w:pPr>
        <w:rPr>
          <w:lang w:val="fr-CA"/>
        </w:rPr>
      </w:pPr>
      <w:r w:rsidRPr="00877353">
        <w:rPr>
          <w:rStyle w:val="EmphasisUseSparingly"/>
          <w:lang w:val="fr-CA"/>
        </w:rPr>
        <w:t xml:space="preserve">Format </w:t>
      </w:r>
      <w:r w:rsidR="00244A5B" w:rsidRPr="00877353">
        <w:rPr>
          <w:rStyle w:val="EmphasisUseSparingly"/>
          <w:lang w:val="fr-CA"/>
        </w:rPr>
        <w:t xml:space="preserve">accessible </w:t>
      </w:r>
      <w:r w:rsidR="00244A5B" w:rsidRPr="00877353">
        <w:rPr>
          <w:lang w:val="fr-CA"/>
        </w:rPr>
        <w:t>—</w:t>
      </w:r>
      <w:r w:rsidRPr="00877353">
        <w:rPr>
          <w:lang w:val="fr-CA"/>
        </w:rPr>
        <w:t xml:space="preserve"> </w:t>
      </w:r>
      <w:r w:rsidR="0036325F">
        <w:rPr>
          <w:lang w:val="fr-CA"/>
        </w:rPr>
        <w:t>u</w:t>
      </w:r>
      <w:r w:rsidRPr="00877353">
        <w:rPr>
          <w:lang w:val="fr-CA"/>
        </w:rPr>
        <w:t>n format qui présente l</w:t>
      </w:r>
      <w:r w:rsidR="0025478E">
        <w:rPr>
          <w:lang w:val="fr-CA"/>
        </w:rPr>
        <w:t>’</w:t>
      </w:r>
      <w:r w:rsidRPr="00877353">
        <w:rPr>
          <w:lang w:val="fr-CA"/>
        </w:rPr>
        <w:t>information de façon à être perçu, comprise et utilisée par tous. Parmi les exemples, on retrouve le braille, les gros caractères, l</w:t>
      </w:r>
      <w:r w:rsidR="0025478E">
        <w:rPr>
          <w:lang w:val="fr-CA"/>
        </w:rPr>
        <w:t>’</w:t>
      </w:r>
      <w:r w:rsidRPr="00877353">
        <w:rPr>
          <w:lang w:val="fr-CA"/>
        </w:rPr>
        <w:t>audio, le texte électronique compatible avec les technologies d</w:t>
      </w:r>
      <w:r w:rsidR="0025478E">
        <w:rPr>
          <w:lang w:val="fr-CA"/>
        </w:rPr>
        <w:t>’</w:t>
      </w:r>
      <w:r w:rsidRPr="00877353">
        <w:rPr>
          <w:lang w:val="fr-CA"/>
        </w:rPr>
        <w:t>assistance, et les formats tactiles.</w:t>
      </w:r>
    </w:p>
    <w:p w14:paraId="02258827" w14:textId="7405105B" w:rsidR="00B54539" w:rsidRPr="00877353" w:rsidRDefault="00B54539" w:rsidP="00B54539">
      <w:pPr>
        <w:rPr>
          <w:lang w:val="fr-CA"/>
        </w:rPr>
      </w:pPr>
      <w:r w:rsidRPr="00877353">
        <w:rPr>
          <w:rStyle w:val="EmphasisUseSparingly"/>
          <w:lang w:val="fr-CA"/>
        </w:rPr>
        <w:t xml:space="preserve">Format alternatif </w:t>
      </w:r>
      <w:r w:rsidRPr="00877353">
        <w:rPr>
          <w:lang w:val="fr-CA"/>
        </w:rPr>
        <w:t xml:space="preserve">— </w:t>
      </w:r>
      <w:r w:rsidR="0036325F">
        <w:rPr>
          <w:lang w:val="fr-CA"/>
        </w:rPr>
        <w:t>i</w:t>
      </w:r>
      <w:r w:rsidRPr="00877353">
        <w:rPr>
          <w:lang w:val="fr-CA"/>
        </w:rPr>
        <w:t>nformation présentée en braille, en gros caractères, électroniquement (p</w:t>
      </w:r>
      <w:r w:rsidR="00290494">
        <w:rPr>
          <w:lang w:val="fr-CA"/>
        </w:rPr>
        <w:t>.ex.</w:t>
      </w:r>
      <w:r w:rsidRPr="00877353">
        <w:rPr>
          <w:lang w:val="fr-CA"/>
        </w:rPr>
        <w:t>, sur support amovible ou portable), ou dans un format accessible.</w:t>
      </w:r>
    </w:p>
    <w:p w14:paraId="74E4F85C" w14:textId="1855DA4D" w:rsidR="00B54539" w:rsidRDefault="00B675EB" w:rsidP="00654128">
      <w:pPr>
        <w:keepLines w:val="0"/>
        <w:widowControl w:val="0"/>
        <w:rPr>
          <w:lang w:val="fr-CA"/>
        </w:rPr>
      </w:pPr>
      <w:r>
        <w:rPr>
          <w:lang w:val="fr-CA"/>
        </w:rPr>
        <w:t>R</w:t>
      </w:r>
      <w:r w:rsidR="00B54539" w:rsidRPr="00877353">
        <w:rPr>
          <w:lang w:val="fr-CA"/>
        </w:rPr>
        <w:t>e</w:t>
      </w:r>
      <w:r>
        <w:rPr>
          <w:lang w:val="fr-CA"/>
        </w:rPr>
        <w:t>marque</w:t>
      </w:r>
      <w:r w:rsidR="00BB3D95">
        <w:rPr>
          <w:lang w:val="fr-CA"/>
        </w:rPr>
        <w:t> </w:t>
      </w:r>
      <w:r w:rsidR="00B54539" w:rsidRPr="00877353">
        <w:rPr>
          <w:lang w:val="fr-CA"/>
        </w:rPr>
        <w:t>: Les gros caractères sont considérés comme une police sans empattement de 14</w:t>
      </w:r>
      <w:r w:rsidR="003B2C52">
        <w:rPr>
          <w:lang w:val="fr-CA"/>
        </w:rPr>
        <w:t> </w:t>
      </w:r>
      <w:r w:rsidR="00B54539" w:rsidRPr="00877353">
        <w:rPr>
          <w:lang w:val="fr-CA"/>
        </w:rPr>
        <w:t>points ou plus.</w:t>
      </w:r>
    </w:p>
    <w:p w14:paraId="3962C6E7" w14:textId="423C44AC" w:rsidR="005F3BD1" w:rsidRDefault="005F3BD1" w:rsidP="00654128">
      <w:pPr>
        <w:keepLines w:val="0"/>
        <w:widowControl w:val="0"/>
        <w:rPr>
          <w:lang w:val="fr-CA"/>
        </w:rPr>
      </w:pPr>
      <w:r w:rsidRPr="00877353">
        <w:rPr>
          <w:rStyle w:val="EmphasisUseSparingly"/>
          <w:lang w:val="fr-CA"/>
        </w:rPr>
        <w:t xml:space="preserve">Indicateur tactile de surface de marche </w:t>
      </w:r>
      <w:r w:rsidRPr="00877353">
        <w:rPr>
          <w:lang w:val="fr-CA"/>
        </w:rPr>
        <w:t xml:space="preserve">— </w:t>
      </w:r>
      <w:r>
        <w:rPr>
          <w:lang w:val="fr-CA"/>
        </w:rPr>
        <w:t>u</w:t>
      </w:r>
      <w:r w:rsidRPr="00877353">
        <w:rPr>
          <w:lang w:val="fr-CA"/>
        </w:rPr>
        <w:t>ne surface texturée standardisée conçue pour être détectée sous les pieds ou avec une longue canne blanche, fournissant un contraste visuel et des indices tactiles pour aider les individus en fournissant des conseils ou des avertissements. Il existe deux types d</w:t>
      </w:r>
      <w:r w:rsidR="00172177">
        <w:rPr>
          <w:lang w:val="fr-CA"/>
        </w:rPr>
        <w:t>’</w:t>
      </w:r>
      <w:r w:rsidR="00940C67">
        <w:rPr>
          <w:lang w:val="fr-CA"/>
        </w:rPr>
        <w:t>I</w:t>
      </w:r>
      <w:r w:rsidR="00172177">
        <w:rPr>
          <w:lang w:val="fr-CA"/>
        </w:rPr>
        <w:t>ndicateur tactile de surface de marche (</w:t>
      </w:r>
      <w:proofErr w:type="spellStart"/>
      <w:r w:rsidR="00172177">
        <w:rPr>
          <w:lang w:val="fr-CA"/>
        </w:rPr>
        <w:t>IT</w:t>
      </w:r>
      <w:r>
        <w:rPr>
          <w:lang w:val="fr-CA"/>
        </w:rPr>
        <w:t>SM</w:t>
      </w:r>
      <w:r w:rsidR="00172177">
        <w:rPr>
          <w:lang w:val="fr-CA"/>
        </w:rPr>
        <w:t>s</w:t>
      </w:r>
      <w:proofErr w:type="spellEnd"/>
      <w:r w:rsidR="00172177">
        <w:rPr>
          <w:lang w:val="fr-CA"/>
        </w:rPr>
        <w:t>)</w:t>
      </w:r>
      <w:r w:rsidRPr="00877353">
        <w:rPr>
          <w:lang w:val="fr-CA"/>
        </w:rPr>
        <w:t xml:space="preserve">; </w:t>
      </w:r>
      <w:r>
        <w:rPr>
          <w:lang w:val="fr-CA"/>
        </w:rPr>
        <w:t>i</w:t>
      </w:r>
      <w:r w:rsidRPr="00877353">
        <w:rPr>
          <w:lang w:val="fr-CA"/>
        </w:rPr>
        <w:t>ndicateurs d</w:t>
      </w:r>
      <w:r w:rsidR="0025478E">
        <w:rPr>
          <w:lang w:val="fr-CA"/>
        </w:rPr>
        <w:t>’</w:t>
      </w:r>
      <w:r w:rsidRPr="00877353">
        <w:rPr>
          <w:lang w:val="fr-CA"/>
        </w:rPr>
        <w:t>a</w:t>
      </w:r>
      <w:r>
        <w:rPr>
          <w:lang w:val="fr-CA"/>
        </w:rPr>
        <w:t>vertissement</w:t>
      </w:r>
      <w:r w:rsidRPr="00877353">
        <w:rPr>
          <w:lang w:val="fr-CA"/>
        </w:rPr>
        <w:t xml:space="preserve"> utilisés pour l</w:t>
      </w:r>
      <w:r w:rsidR="0025478E">
        <w:rPr>
          <w:lang w:val="fr-CA"/>
        </w:rPr>
        <w:t>’</w:t>
      </w:r>
      <w:r w:rsidRPr="00877353">
        <w:rPr>
          <w:lang w:val="fr-CA"/>
        </w:rPr>
        <w:t xml:space="preserve">alerte aux dangers et indicateurs </w:t>
      </w:r>
      <w:r w:rsidRPr="00877353">
        <w:rPr>
          <w:lang w:val="fr-CA"/>
        </w:rPr>
        <w:lastRenderedPageBreak/>
        <w:t>de direction utilisés pour le guidage directionnel.</w:t>
      </w:r>
    </w:p>
    <w:p w14:paraId="0F0F8C69" w14:textId="6D9DBA62" w:rsidR="00B34360" w:rsidRDefault="00B34360" w:rsidP="00B34360">
      <w:pPr>
        <w:ind w:left="709" w:firstLine="11"/>
        <w:rPr>
          <w:lang w:val="fr-CA"/>
        </w:rPr>
      </w:pPr>
      <w:r w:rsidRPr="00877353">
        <w:rPr>
          <w:rStyle w:val="EmphasisUseSparingly"/>
          <w:lang w:val="fr-CA"/>
        </w:rPr>
        <w:t>Indicateur d</w:t>
      </w:r>
      <w:r w:rsidR="0025478E">
        <w:rPr>
          <w:rStyle w:val="EmphasisUseSparingly"/>
          <w:lang w:val="fr-CA"/>
        </w:rPr>
        <w:t>’</w:t>
      </w:r>
      <w:r w:rsidRPr="00877353">
        <w:rPr>
          <w:rStyle w:val="EmphasisUseSparingly"/>
          <w:lang w:val="fr-CA"/>
        </w:rPr>
        <w:t>a</w:t>
      </w:r>
      <w:r>
        <w:rPr>
          <w:rStyle w:val="EmphasisUseSparingly"/>
          <w:lang w:val="fr-CA"/>
        </w:rPr>
        <w:t>vertissement</w:t>
      </w:r>
      <w:r w:rsidRPr="00877353">
        <w:rPr>
          <w:rStyle w:val="EmphasisUseSparingly"/>
          <w:lang w:val="fr-CA"/>
        </w:rPr>
        <w:t xml:space="preserve"> </w:t>
      </w:r>
      <w:r w:rsidRPr="00877353">
        <w:rPr>
          <w:lang w:val="fr-CA"/>
        </w:rPr>
        <w:t xml:space="preserve">— </w:t>
      </w:r>
      <w:r>
        <w:rPr>
          <w:lang w:val="fr-CA"/>
        </w:rPr>
        <w:t>u</w:t>
      </w:r>
      <w:r w:rsidRPr="00877353">
        <w:rPr>
          <w:lang w:val="fr-CA"/>
        </w:rPr>
        <w:t xml:space="preserve">n type de conception </w:t>
      </w:r>
      <w:r>
        <w:rPr>
          <w:lang w:val="fr-CA"/>
        </w:rPr>
        <w:t>ITSM</w:t>
      </w:r>
      <w:r w:rsidRPr="00877353">
        <w:rPr>
          <w:lang w:val="fr-CA"/>
        </w:rPr>
        <w:t xml:space="preserve"> (</w:t>
      </w:r>
      <w:r>
        <w:rPr>
          <w:lang w:val="fr-CA"/>
        </w:rPr>
        <w:t>indicateur tactile de surface de marche</w:t>
      </w:r>
      <w:r w:rsidRPr="00877353">
        <w:rPr>
          <w:lang w:val="fr-CA"/>
        </w:rPr>
        <w:t xml:space="preserve">) utilisé pour mettre en évidence des </w:t>
      </w:r>
      <w:proofErr w:type="gramStart"/>
      <w:r w:rsidRPr="00877353">
        <w:rPr>
          <w:lang w:val="fr-CA"/>
        </w:rPr>
        <w:t>dangers potentiels</w:t>
      </w:r>
      <w:proofErr w:type="gramEnd"/>
      <w:r w:rsidRPr="00877353">
        <w:rPr>
          <w:lang w:val="fr-CA"/>
        </w:rPr>
        <w:t xml:space="preserve"> ou des points clés de décision. Il se compose de dômes tronqués ou de cônes.</w:t>
      </w:r>
    </w:p>
    <w:p w14:paraId="16C49833" w14:textId="11713F81" w:rsidR="00B34360" w:rsidRPr="00877353" w:rsidRDefault="00B34360" w:rsidP="009874D9">
      <w:pPr>
        <w:ind w:left="709"/>
        <w:rPr>
          <w:lang w:val="fr-CA"/>
        </w:rPr>
      </w:pPr>
      <w:r w:rsidRPr="00877353">
        <w:rPr>
          <w:rStyle w:val="EmphasisUseSparingly"/>
          <w:lang w:val="fr-CA"/>
        </w:rPr>
        <w:t>Indicateur de direction</w:t>
      </w:r>
      <w:r w:rsidRPr="00877353">
        <w:rPr>
          <w:lang w:val="fr-CA"/>
        </w:rPr>
        <w:t xml:space="preserve"> — </w:t>
      </w:r>
      <w:r>
        <w:rPr>
          <w:lang w:val="fr-CA"/>
        </w:rPr>
        <w:t>u</w:t>
      </w:r>
      <w:r w:rsidRPr="00877353">
        <w:rPr>
          <w:lang w:val="fr-CA"/>
        </w:rPr>
        <w:t xml:space="preserve">n type de conception </w:t>
      </w:r>
      <w:r>
        <w:rPr>
          <w:lang w:val="fr-CA"/>
        </w:rPr>
        <w:t>ITSM</w:t>
      </w:r>
      <w:r w:rsidRPr="00877353">
        <w:rPr>
          <w:lang w:val="fr-CA"/>
        </w:rPr>
        <w:t xml:space="preserve"> (</w:t>
      </w:r>
      <w:r>
        <w:rPr>
          <w:lang w:val="fr-CA"/>
        </w:rPr>
        <w:t>Indicateur tactile de surface de marche</w:t>
      </w:r>
      <w:r w:rsidRPr="00877353">
        <w:rPr>
          <w:lang w:val="fr-CA"/>
        </w:rPr>
        <w:t>), utilisé pour offrir un guidage directionnel afin d</w:t>
      </w:r>
      <w:r w:rsidR="0025478E">
        <w:rPr>
          <w:lang w:val="fr-CA"/>
        </w:rPr>
        <w:t>’</w:t>
      </w:r>
      <w:r w:rsidRPr="00877353">
        <w:rPr>
          <w:lang w:val="fr-CA"/>
        </w:rPr>
        <w:t>aider à l</w:t>
      </w:r>
      <w:r w:rsidR="0025478E">
        <w:rPr>
          <w:lang w:val="fr-CA"/>
        </w:rPr>
        <w:t>’</w:t>
      </w:r>
      <w:r w:rsidRPr="00877353">
        <w:rPr>
          <w:lang w:val="fr-CA"/>
        </w:rPr>
        <w:t xml:space="preserve">orientation dans les </w:t>
      </w:r>
      <w:r>
        <w:rPr>
          <w:lang w:val="fr-CA"/>
        </w:rPr>
        <w:t>aires</w:t>
      </w:r>
      <w:r w:rsidRPr="00877353">
        <w:rPr>
          <w:lang w:val="fr-CA"/>
        </w:rPr>
        <w:t xml:space="preserve"> ouvertes. Il se compose de barres allongées à sommet plat.</w:t>
      </w:r>
    </w:p>
    <w:p w14:paraId="2CCF99B4" w14:textId="07E3DD0E" w:rsidR="005F3BD1" w:rsidRPr="00877353" w:rsidRDefault="005F3BD1" w:rsidP="005F3BD1">
      <w:pPr>
        <w:rPr>
          <w:lang w:val="fr-CA"/>
        </w:rPr>
      </w:pPr>
      <w:r w:rsidRPr="00877353">
        <w:rPr>
          <w:rStyle w:val="EmphasisUseSparingly"/>
          <w:lang w:val="fr-CA"/>
        </w:rPr>
        <w:t>Luminance</w:t>
      </w:r>
      <w:r w:rsidRPr="00877353">
        <w:rPr>
          <w:lang w:val="fr-CA"/>
        </w:rPr>
        <w:t xml:space="preserve"> — </w:t>
      </w:r>
      <w:r>
        <w:rPr>
          <w:lang w:val="fr-CA"/>
        </w:rPr>
        <w:t>l</w:t>
      </w:r>
      <w:r w:rsidRPr="00877353">
        <w:rPr>
          <w:lang w:val="fr-CA"/>
        </w:rPr>
        <w:t>a mesure de la lumière qu</w:t>
      </w:r>
      <w:r w:rsidR="0025478E">
        <w:rPr>
          <w:lang w:val="fr-CA"/>
        </w:rPr>
        <w:t>’</w:t>
      </w:r>
      <w:r w:rsidRPr="00877353">
        <w:rPr>
          <w:lang w:val="fr-CA"/>
        </w:rPr>
        <w:t>une surface émet ou réfléchi</w:t>
      </w:r>
      <w:r w:rsidR="009E0F79">
        <w:rPr>
          <w:lang w:val="fr-CA"/>
        </w:rPr>
        <w:t>e</w:t>
      </w:r>
      <w:r w:rsidRPr="00877353">
        <w:rPr>
          <w:lang w:val="fr-CA"/>
        </w:rPr>
        <w:t xml:space="preserve"> dans une direction précise.</w:t>
      </w:r>
    </w:p>
    <w:p w14:paraId="334847DD" w14:textId="1FA6AECF" w:rsidR="005F3BD1" w:rsidRPr="00877353" w:rsidRDefault="005F3BD1" w:rsidP="005F3BD1">
      <w:pPr>
        <w:rPr>
          <w:lang w:val="fr-CA"/>
        </w:rPr>
      </w:pPr>
      <w:r w:rsidRPr="00877353">
        <w:rPr>
          <w:rStyle w:val="EmphasisUseSparingly"/>
          <w:lang w:val="fr-CA"/>
        </w:rPr>
        <w:t xml:space="preserve">Lux </w:t>
      </w:r>
      <w:r w:rsidRPr="00877353">
        <w:rPr>
          <w:lang w:val="fr-CA"/>
        </w:rPr>
        <w:t xml:space="preserve">— </w:t>
      </w:r>
      <w:r>
        <w:rPr>
          <w:lang w:val="fr-CA"/>
        </w:rPr>
        <w:t>l</w:t>
      </w:r>
      <w:r w:rsidR="0025478E">
        <w:rPr>
          <w:lang w:val="fr-CA"/>
        </w:rPr>
        <w:t>’</w:t>
      </w:r>
      <w:r w:rsidRPr="00877353">
        <w:rPr>
          <w:lang w:val="fr-CA"/>
        </w:rPr>
        <w:t>unité SI d</w:t>
      </w:r>
      <w:r>
        <w:rPr>
          <w:lang w:val="fr-CA"/>
        </w:rPr>
        <w:t>’éclairement lumineux</w:t>
      </w:r>
      <w:r w:rsidRPr="00877353">
        <w:rPr>
          <w:lang w:val="fr-CA"/>
        </w:rPr>
        <w:t>, représentant la quantité de lumière qui tombe sur une surface.</w:t>
      </w:r>
    </w:p>
    <w:p w14:paraId="76F9A8F9" w14:textId="2E4D97C0" w:rsidR="005F3BD1" w:rsidRPr="00877353" w:rsidRDefault="00B675EB" w:rsidP="005F3BD1">
      <w:pPr>
        <w:rPr>
          <w:lang w:val="fr-CA"/>
        </w:rPr>
      </w:pPr>
      <w:r>
        <w:rPr>
          <w:lang w:val="fr-CA"/>
        </w:rPr>
        <w:t>Remarque</w:t>
      </w:r>
      <w:r w:rsidR="003C1DE5">
        <w:rPr>
          <w:lang w:val="fr-CA"/>
        </w:rPr>
        <w:t> </w:t>
      </w:r>
      <w:r w:rsidR="005F3BD1" w:rsidRPr="00877353">
        <w:rPr>
          <w:lang w:val="fr-CA"/>
        </w:rPr>
        <w:t>1</w:t>
      </w:r>
      <w:r w:rsidR="00BB3D95">
        <w:rPr>
          <w:lang w:val="fr-CA"/>
        </w:rPr>
        <w:t> </w:t>
      </w:r>
      <w:r w:rsidR="005F3BD1" w:rsidRPr="00877353">
        <w:rPr>
          <w:lang w:val="fr-CA"/>
        </w:rPr>
        <w:t>: 1</w:t>
      </w:r>
      <w:r w:rsidR="003B2C52">
        <w:rPr>
          <w:lang w:val="fr-CA"/>
        </w:rPr>
        <w:t> </w:t>
      </w:r>
      <w:r w:rsidR="005F3BD1" w:rsidRPr="00877353">
        <w:rPr>
          <w:lang w:val="fr-CA"/>
        </w:rPr>
        <w:t>l</w:t>
      </w:r>
      <w:r w:rsidR="00171061">
        <w:rPr>
          <w:lang w:val="fr-CA"/>
        </w:rPr>
        <w:t>u</w:t>
      </w:r>
      <w:r w:rsidR="005F3BD1" w:rsidRPr="00877353">
        <w:rPr>
          <w:lang w:val="fr-CA"/>
        </w:rPr>
        <w:t>x</w:t>
      </w:r>
      <w:r w:rsidR="00171061">
        <w:rPr>
          <w:lang w:val="fr-CA"/>
        </w:rPr>
        <w:t xml:space="preserve"> (abréviation lx)</w:t>
      </w:r>
      <w:r w:rsidR="005F3BD1" w:rsidRPr="00877353">
        <w:rPr>
          <w:lang w:val="fr-CA"/>
        </w:rPr>
        <w:t xml:space="preserve"> est égal à l</w:t>
      </w:r>
      <w:r w:rsidR="0025478E">
        <w:rPr>
          <w:lang w:val="fr-CA"/>
        </w:rPr>
        <w:t>’</w:t>
      </w:r>
      <w:r w:rsidR="005F3BD1">
        <w:fldChar w:fldCharType="begin"/>
      </w:r>
      <w:r w:rsidR="005F3BD1" w:rsidRPr="007C0FBA">
        <w:rPr>
          <w:lang w:val="fr-CA"/>
        </w:rPr>
        <w:instrText>HYPERLINK "https://cie.co.at/eilvterm/17-21-060"</w:instrText>
      </w:r>
      <w:r w:rsidR="005F3BD1">
        <w:fldChar w:fldCharType="separate"/>
      </w:r>
      <w:r w:rsidR="005F3BD1" w:rsidRPr="00877353">
        <w:rPr>
          <w:lang w:val="fr-CA"/>
        </w:rPr>
        <w:t>éclairement</w:t>
      </w:r>
      <w:r w:rsidR="005F3BD1">
        <w:fldChar w:fldCharType="end"/>
      </w:r>
      <w:r w:rsidR="005F3BD1" w:rsidRPr="00877353">
        <w:rPr>
          <w:lang w:val="fr-CA"/>
        </w:rPr>
        <w:t xml:space="preserve"> produit sur une surface de 1</w:t>
      </w:r>
      <w:r w:rsidR="00FA4FCB">
        <w:rPr>
          <w:lang w:val="fr-CA"/>
        </w:rPr>
        <w:t> </w:t>
      </w:r>
      <w:r w:rsidR="005F3BD1" w:rsidRPr="00877353">
        <w:rPr>
          <w:lang w:val="fr-CA"/>
        </w:rPr>
        <w:t xml:space="preserve">m2 par un </w:t>
      </w:r>
      <w:r w:rsidR="005F3BD1">
        <w:fldChar w:fldCharType="begin"/>
      </w:r>
      <w:r w:rsidR="005F3BD1" w:rsidRPr="007C0FBA">
        <w:rPr>
          <w:lang w:val="fr-CA"/>
        </w:rPr>
        <w:instrText>HYPERLINK "https://cie.co.at/eilvterm/17-21-039"</w:instrText>
      </w:r>
      <w:r w:rsidR="005F3BD1">
        <w:fldChar w:fldCharType="separate"/>
      </w:r>
      <w:r w:rsidR="005F3BD1" w:rsidRPr="00877353">
        <w:rPr>
          <w:lang w:val="fr-CA"/>
        </w:rPr>
        <w:t>flux lumineux</w:t>
      </w:r>
      <w:r w:rsidR="005F3BD1">
        <w:fldChar w:fldCharType="end"/>
      </w:r>
      <w:r w:rsidR="005F3BD1" w:rsidRPr="00877353">
        <w:rPr>
          <w:lang w:val="fr-CA"/>
        </w:rPr>
        <w:t xml:space="preserve"> de 1</w:t>
      </w:r>
      <w:r w:rsidR="00FA4FCB">
        <w:rPr>
          <w:lang w:val="fr-CA"/>
        </w:rPr>
        <w:t> </w:t>
      </w:r>
      <w:r w:rsidR="005F3BD1" w:rsidRPr="00877353">
        <w:rPr>
          <w:lang w:val="fr-CA"/>
        </w:rPr>
        <w:t>lm uniformément réparti sur cette surface.</w:t>
      </w:r>
    </w:p>
    <w:p w14:paraId="5E097B64" w14:textId="483DCAD9" w:rsidR="005F3BD1" w:rsidRDefault="00B675EB" w:rsidP="00B54539">
      <w:pPr>
        <w:rPr>
          <w:lang w:val="fr-CA"/>
        </w:rPr>
      </w:pPr>
      <w:r>
        <w:rPr>
          <w:lang w:val="fr-CA"/>
        </w:rPr>
        <w:t>Remarque</w:t>
      </w:r>
      <w:r w:rsidR="003C1DE5">
        <w:rPr>
          <w:lang w:val="fr-CA"/>
        </w:rPr>
        <w:t> </w:t>
      </w:r>
      <w:r w:rsidR="005F3BD1" w:rsidRPr="00877353">
        <w:rPr>
          <w:lang w:val="fr-CA"/>
        </w:rPr>
        <w:t>2</w:t>
      </w:r>
      <w:r w:rsidR="00BB3D95">
        <w:rPr>
          <w:lang w:val="fr-CA"/>
        </w:rPr>
        <w:t> </w:t>
      </w:r>
      <w:r w:rsidR="005F3BD1" w:rsidRPr="00877353">
        <w:rPr>
          <w:lang w:val="fr-CA"/>
        </w:rPr>
        <w:t xml:space="preserve">: Unités non métriques, </w:t>
      </w:r>
      <w:proofErr w:type="spellStart"/>
      <w:r w:rsidR="005F3BD1" w:rsidRPr="00877353">
        <w:rPr>
          <w:lang w:val="fr-CA"/>
        </w:rPr>
        <w:t>non-SI</w:t>
      </w:r>
      <w:proofErr w:type="spellEnd"/>
      <w:r w:rsidR="00BB3D95">
        <w:rPr>
          <w:lang w:val="fr-CA"/>
        </w:rPr>
        <w:t> </w:t>
      </w:r>
      <w:r w:rsidR="005F3BD1" w:rsidRPr="00877353">
        <w:rPr>
          <w:lang w:val="fr-CA"/>
        </w:rPr>
        <w:t>: lumen par pied carré (symbole</w:t>
      </w:r>
      <w:r w:rsidR="00BB3D95">
        <w:rPr>
          <w:lang w:val="fr-CA"/>
        </w:rPr>
        <w:t> </w:t>
      </w:r>
      <w:r w:rsidR="005F3BD1" w:rsidRPr="00877353">
        <w:rPr>
          <w:lang w:val="fr-CA"/>
        </w:rPr>
        <w:t xml:space="preserve">: </w:t>
      </w:r>
      <w:proofErr w:type="spellStart"/>
      <w:r w:rsidR="005F3BD1" w:rsidRPr="00877353">
        <w:rPr>
          <w:lang w:val="fr-CA"/>
        </w:rPr>
        <w:t>lm·</w:t>
      </w:r>
      <w:r w:rsidR="001C4884">
        <w:rPr>
          <w:lang w:val="fr-CA"/>
        </w:rPr>
        <w:t>P</w:t>
      </w:r>
      <w:r w:rsidR="00187633">
        <w:rPr>
          <w:lang w:val="fr-CA"/>
        </w:rPr>
        <w:t>i</w:t>
      </w:r>
      <w:proofErr w:type="spellEnd"/>
      <w:r w:rsidR="005F3BD1" w:rsidRPr="00877353">
        <w:rPr>
          <w:lang w:val="fr-CA"/>
        </w:rPr>
        <w:t>−</w:t>
      </w:r>
      <w:r w:rsidR="003C1DE5">
        <w:rPr>
          <w:lang w:val="fr-CA"/>
        </w:rPr>
        <w:t> </w:t>
      </w:r>
      <w:r w:rsidR="005F3BD1" w:rsidRPr="00877353">
        <w:rPr>
          <w:lang w:val="fr-CA"/>
        </w:rPr>
        <w:t xml:space="preserve">2), </w:t>
      </w:r>
      <w:proofErr w:type="spellStart"/>
      <w:r w:rsidR="005F3BD1" w:rsidRPr="00877353">
        <w:rPr>
          <w:lang w:val="fr-CA"/>
        </w:rPr>
        <w:t>footcandle</w:t>
      </w:r>
      <w:proofErr w:type="spellEnd"/>
      <w:r w:rsidR="005F3BD1" w:rsidRPr="00877353">
        <w:rPr>
          <w:lang w:val="fr-CA"/>
        </w:rPr>
        <w:t xml:space="preserve"> (</w:t>
      </w:r>
      <w:r w:rsidR="00AD12EF">
        <w:rPr>
          <w:lang w:val="fr-CA"/>
        </w:rPr>
        <w:t>abréviation</w:t>
      </w:r>
      <w:r w:rsidR="00BB3D95">
        <w:rPr>
          <w:lang w:val="fr-CA"/>
        </w:rPr>
        <w:t> </w:t>
      </w:r>
      <w:r w:rsidR="005F3BD1" w:rsidRPr="00877353">
        <w:rPr>
          <w:lang w:val="fr-CA"/>
        </w:rPr>
        <w:t xml:space="preserve">: </w:t>
      </w:r>
      <w:proofErr w:type="spellStart"/>
      <w:r w:rsidR="005F3BD1" w:rsidRPr="00877353">
        <w:rPr>
          <w:lang w:val="fr-CA"/>
        </w:rPr>
        <w:t>fc</w:t>
      </w:r>
      <w:proofErr w:type="spellEnd"/>
      <w:r w:rsidR="005F3BD1" w:rsidRPr="00877353">
        <w:rPr>
          <w:lang w:val="fr-CA"/>
        </w:rPr>
        <w:t>)</w:t>
      </w:r>
      <w:r w:rsidR="00BB3D95">
        <w:rPr>
          <w:lang w:val="fr-CA"/>
        </w:rPr>
        <w:t> </w:t>
      </w:r>
      <w:r w:rsidR="005F3BD1" w:rsidRPr="00877353">
        <w:rPr>
          <w:lang w:val="fr-CA"/>
        </w:rPr>
        <w:t>: 1</w:t>
      </w:r>
      <w:r w:rsidR="00FA4FCB">
        <w:rPr>
          <w:lang w:val="fr-CA"/>
        </w:rPr>
        <w:t> </w:t>
      </w:r>
      <w:proofErr w:type="spellStart"/>
      <w:r w:rsidR="005F3BD1" w:rsidRPr="00877353">
        <w:rPr>
          <w:lang w:val="fr-CA"/>
        </w:rPr>
        <w:t>lm·</w:t>
      </w:r>
      <w:r w:rsidR="001C4884">
        <w:rPr>
          <w:lang w:val="fr-CA"/>
        </w:rPr>
        <w:t>P</w:t>
      </w:r>
      <w:r w:rsidR="009C0C3A">
        <w:rPr>
          <w:lang w:val="fr-CA"/>
        </w:rPr>
        <w:t>i</w:t>
      </w:r>
      <w:proofErr w:type="spellEnd"/>
      <w:r w:rsidR="005F3BD1" w:rsidRPr="00877353">
        <w:rPr>
          <w:lang w:val="fr-CA"/>
        </w:rPr>
        <w:t>−</w:t>
      </w:r>
      <w:r w:rsidR="003C1DE5">
        <w:rPr>
          <w:lang w:val="fr-CA"/>
        </w:rPr>
        <w:t> </w:t>
      </w:r>
      <w:r w:rsidR="005F3BD1" w:rsidRPr="00877353">
        <w:rPr>
          <w:lang w:val="fr-CA"/>
        </w:rPr>
        <w:t>2 = 1</w:t>
      </w:r>
      <w:r w:rsidR="00FA4FCB">
        <w:rPr>
          <w:lang w:val="fr-CA"/>
        </w:rPr>
        <w:t> </w:t>
      </w:r>
      <w:proofErr w:type="spellStart"/>
      <w:r w:rsidR="005F3BD1" w:rsidRPr="00877353">
        <w:rPr>
          <w:lang w:val="fr-CA"/>
        </w:rPr>
        <w:t>fc</w:t>
      </w:r>
      <w:proofErr w:type="spellEnd"/>
      <w:r w:rsidR="005F3BD1" w:rsidRPr="00877353">
        <w:rPr>
          <w:lang w:val="fr-CA"/>
        </w:rPr>
        <w:t xml:space="preserve"> = 10 764</w:t>
      </w:r>
      <w:r w:rsidR="00FA4FCB">
        <w:rPr>
          <w:lang w:val="fr-CA"/>
        </w:rPr>
        <w:t> </w:t>
      </w:r>
      <w:r w:rsidR="005F3BD1" w:rsidRPr="00877353">
        <w:rPr>
          <w:lang w:val="fr-CA"/>
        </w:rPr>
        <w:t>lx.</w:t>
      </w:r>
    </w:p>
    <w:p w14:paraId="0D023C82" w14:textId="64690DAB" w:rsidR="005F3BD1" w:rsidRDefault="005F3BD1" w:rsidP="00B54539">
      <w:pPr>
        <w:rPr>
          <w:lang w:val="fr-CA"/>
        </w:rPr>
      </w:pPr>
      <w:r w:rsidRPr="00877353">
        <w:rPr>
          <w:rStyle w:val="EmphasisUseSparingly"/>
          <w:lang w:val="fr-CA"/>
        </w:rPr>
        <w:t xml:space="preserve">Orientation </w:t>
      </w:r>
      <w:r w:rsidRPr="00877353">
        <w:rPr>
          <w:lang w:val="fr-CA"/>
        </w:rPr>
        <w:t xml:space="preserve">— </w:t>
      </w:r>
      <w:r>
        <w:rPr>
          <w:lang w:val="fr-CA"/>
        </w:rPr>
        <w:t>l</w:t>
      </w:r>
      <w:r w:rsidRPr="00877353">
        <w:rPr>
          <w:lang w:val="fr-CA"/>
        </w:rPr>
        <w:t>e processus de navigation dans un environnement en utilisant des indices visuels, auditifs ou tactiles pour déterminer sa position et sa direction vers une destination désirée.</w:t>
      </w:r>
    </w:p>
    <w:p w14:paraId="19918BB4" w14:textId="2F217E0F" w:rsidR="005F3BD1" w:rsidRDefault="005F3BD1" w:rsidP="00B54539">
      <w:pPr>
        <w:rPr>
          <w:lang w:val="fr-CA"/>
        </w:rPr>
      </w:pPr>
      <w:r w:rsidRPr="00877353">
        <w:rPr>
          <w:rStyle w:val="EmphasisUseSparingly"/>
          <w:lang w:val="fr-CA"/>
        </w:rPr>
        <w:t>Panneau vertical</w:t>
      </w:r>
      <w:r w:rsidRPr="00877353">
        <w:rPr>
          <w:lang w:val="fr-CA"/>
        </w:rPr>
        <w:t xml:space="preserve"> — </w:t>
      </w:r>
      <w:r>
        <w:rPr>
          <w:lang w:val="fr-CA"/>
        </w:rPr>
        <w:t>p</w:t>
      </w:r>
      <w:r w:rsidRPr="00877353">
        <w:rPr>
          <w:lang w:val="fr-CA"/>
        </w:rPr>
        <w:t>anneau fixé parallèlement au mur d</w:t>
      </w:r>
      <w:r w:rsidR="0025478E">
        <w:rPr>
          <w:lang w:val="fr-CA"/>
        </w:rPr>
        <w:t>’</w:t>
      </w:r>
      <w:r w:rsidRPr="00877353">
        <w:rPr>
          <w:lang w:val="fr-CA"/>
        </w:rPr>
        <w:t>un bâtiment auquel il est attaché et dont la plus grande dimension est verticale.</w:t>
      </w:r>
    </w:p>
    <w:p w14:paraId="0A4347A0" w14:textId="2A2EF299" w:rsidR="00D9027E" w:rsidRDefault="005F3BD1" w:rsidP="005F3BD1">
      <w:pPr>
        <w:keepLines w:val="0"/>
        <w:widowControl w:val="0"/>
        <w:rPr>
          <w:lang w:val="fr-CA"/>
        </w:rPr>
      </w:pPr>
      <w:r w:rsidRPr="00877353">
        <w:rPr>
          <w:rStyle w:val="EmphasisUseSparingly"/>
          <w:lang w:val="fr-CA"/>
        </w:rPr>
        <w:t xml:space="preserve">Pictogramme </w:t>
      </w:r>
      <w:r w:rsidRPr="00877353">
        <w:rPr>
          <w:lang w:val="fr-CA"/>
        </w:rPr>
        <w:t xml:space="preserve">— </w:t>
      </w:r>
      <w:r>
        <w:rPr>
          <w:lang w:val="fr-CA"/>
        </w:rPr>
        <w:t>a</w:t>
      </w:r>
      <w:r w:rsidRPr="00877353">
        <w:rPr>
          <w:lang w:val="fr-CA"/>
        </w:rPr>
        <w:t>ussi appelé glyphe, est un moyen visuel efficace de transmettre un message ou une instruction spécifique de façon concise.</w:t>
      </w:r>
    </w:p>
    <w:p w14:paraId="4EA9617C" w14:textId="0F49B4F7" w:rsidR="00D9027E" w:rsidRDefault="00D9027E" w:rsidP="005F3BD1">
      <w:pPr>
        <w:keepLines w:val="0"/>
        <w:widowControl w:val="0"/>
        <w:rPr>
          <w:lang w:val="fr-CA"/>
        </w:rPr>
      </w:pPr>
      <w:r>
        <w:rPr>
          <w:lang w:val="fr-CA"/>
        </w:rPr>
        <w:lastRenderedPageBreak/>
        <w:t>Remarque</w:t>
      </w:r>
      <w:r w:rsidR="003C1DE5">
        <w:rPr>
          <w:lang w:val="fr-CA"/>
        </w:rPr>
        <w:t> </w:t>
      </w:r>
      <w:r>
        <w:rPr>
          <w:lang w:val="fr-CA"/>
        </w:rPr>
        <w:t xml:space="preserve">1 : </w:t>
      </w:r>
      <w:r w:rsidR="005F3BD1" w:rsidRPr="00877353">
        <w:rPr>
          <w:lang w:val="fr-CA"/>
        </w:rPr>
        <w:t>Les pictogrammes qui montrent une personne dans une action spécifique ou qui illustrent la fonction d</w:t>
      </w:r>
      <w:r w:rsidR="0025478E">
        <w:rPr>
          <w:lang w:val="fr-CA"/>
        </w:rPr>
        <w:t>’</w:t>
      </w:r>
      <w:r w:rsidR="005F3BD1" w:rsidRPr="00877353">
        <w:rPr>
          <w:lang w:val="fr-CA"/>
        </w:rPr>
        <w:t>une pièce sont les plus facilement reconnaissables.</w:t>
      </w:r>
    </w:p>
    <w:p w14:paraId="3143D35C" w14:textId="312798DB" w:rsidR="00C00847" w:rsidRDefault="00D9027E" w:rsidP="005F3BD1">
      <w:pPr>
        <w:keepLines w:val="0"/>
        <w:widowControl w:val="0"/>
        <w:rPr>
          <w:lang w:val="fr-CA"/>
        </w:rPr>
      </w:pPr>
      <w:r>
        <w:rPr>
          <w:lang w:val="fr-CA"/>
        </w:rPr>
        <w:t>Remarque</w:t>
      </w:r>
      <w:r w:rsidR="003C1DE5">
        <w:rPr>
          <w:lang w:val="fr-CA"/>
        </w:rPr>
        <w:t> </w:t>
      </w:r>
      <w:r>
        <w:rPr>
          <w:lang w:val="fr-CA"/>
        </w:rPr>
        <w:t xml:space="preserve">2 : </w:t>
      </w:r>
      <w:r w:rsidR="005F3BD1" w:rsidRPr="00877353">
        <w:rPr>
          <w:lang w:val="fr-CA"/>
        </w:rPr>
        <w:t>Les pictogrammes sont composés de deux éléments</w:t>
      </w:r>
      <w:r w:rsidR="00BB3D95">
        <w:rPr>
          <w:lang w:val="fr-CA"/>
        </w:rPr>
        <w:t> </w:t>
      </w:r>
      <w:r w:rsidR="005F3BD1" w:rsidRPr="00877353">
        <w:rPr>
          <w:lang w:val="fr-CA"/>
        </w:rPr>
        <w:t>: un symbole graphique généralement associé à un message spécifique, et l</w:t>
      </w:r>
      <w:r w:rsidR="0025478E">
        <w:rPr>
          <w:lang w:val="fr-CA"/>
        </w:rPr>
        <w:t>’</w:t>
      </w:r>
      <w:r w:rsidR="005F3BD1" w:rsidRPr="00877353">
        <w:rPr>
          <w:lang w:val="fr-CA"/>
        </w:rPr>
        <w:t>arrière-plan sur lequel le symbole est positionné (appelé le champ), qui peut apporter une signification ou un contexte supplémentaire par sa forme et sa couleur.</w:t>
      </w:r>
    </w:p>
    <w:p w14:paraId="19047264" w14:textId="6A2FEB2D" w:rsidR="0073013F" w:rsidRDefault="00C00847" w:rsidP="005F3BD1">
      <w:pPr>
        <w:keepLines w:val="0"/>
        <w:widowControl w:val="0"/>
        <w:rPr>
          <w:lang w:val="fr-CA"/>
        </w:rPr>
      </w:pPr>
      <w:r>
        <w:rPr>
          <w:lang w:val="fr-CA"/>
        </w:rPr>
        <w:t>Remarque</w:t>
      </w:r>
      <w:r w:rsidR="003C1DE5">
        <w:rPr>
          <w:lang w:val="fr-CA"/>
        </w:rPr>
        <w:t> </w:t>
      </w:r>
      <w:r>
        <w:rPr>
          <w:lang w:val="fr-CA"/>
        </w:rPr>
        <w:t xml:space="preserve">3 : </w:t>
      </w:r>
      <w:r w:rsidR="005F3BD1" w:rsidRPr="00877353">
        <w:rPr>
          <w:lang w:val="fr-CA"/>
        </w:rPr>
        <w:t>Les pictogrammes (sauf pour les panneaux aériens) sont toujours utilisés en combinaison avec du texte en relief et l</w:t>
      </w:r>
      <w:r w:rsidR="0025478E">
        <w:rPr>
          <w:lang w:val="fr-CA"/>
        </w:rPr>
        <w:t>’</w:t>
      </w:r>
      <w:r w:rsidR="005F3BD1" w:rsidRPr="00877353">
        <w:rPr>
          <w:lang w:val="fr-CA"/>
        </w:rPr>
        <w:t>information en braille équivalente.</w:t>
      </w:r>
    </w:p>
    <w:p w14:paraId="6FCA1DB8" w14:textId="724218B9" w:rsidR="005F3BD1" w:rsidRDefault="0073013F" w:rsidP="005F3BD1">
      <w:pPr>
        <w:keepLines w:val="0"/>
        <w:widowControl w:val="0"/>
        <w:rPr>
          <w:lang w:val="fr-CA"/>
        </w:rPr>
      </w:pPr>
      <w:r>
        <w:rPr>
          <w:lang w:val="fr-CA"/>
        </w:rPr>
        <w:t>Remarque</w:t>
      </w:r>
      <w:r w:rsidR="003C1DE5">
        <w:rPr>
          <w:lang w:val="fr-CA"/>
        </w:rPr>
        <w:t> </w:t>
      </w:r>
      <w:r>
        <w:rPr>
          <w:lang w:val="fr-CA"/>
        </w:rPr>
        <w:t xml:space="preserve">4 : </w:t>
      </w:r>
      <w:r w:rsidR="005F3BD1" w:rsidRPr="00877353">
        <w:rPr>
          <w:lang w:val="fr-CA"/>
        </w:rPr>
        <w:t>Les pictogrammes incluent des icônes, des flèches, des informations publiques, des symboles d</w:t>
      </w:r>
      <w:r w:rsidR="0025478E">
        <w:rPr>
          <w:lang w:val="fr-CA"/>
        </w:rPr>
        <w:t>’</w:t>
      </w:r>
      <w:r w:rsidR="005F3BD1" w:rsidRPr="00877353">
        <w:rPr>
          <w:lang w:val="fr-CA"/>
        </w:rPr>
        <w:t>accessibilité et de sécurité, et sont destinés à transmettre succinctement des actions, des informations directionnelles ou à fournir une fonction de salle.</w:t>
      </w:r>
    </w:p>
    <w:p w14:paraId="7CF9BAD7" w14:textId="7E0A1246" w:rsidR="005F3BD1" w:rsidRDefault="005F3BD1" w:rsidP="005F3BD1">
      <w:pPr>
        <w:rPr>
          <w:lang w:val="fr-CA"/>
        </w:rPr>
      </w:pPr>
      <w:r w:rsidRPr="00877353">
        <w:rPr>
          <w:rStyle w:val="EmphasisUseSparingly"/>
          <w:lang w:val="fr-CA"/>
        </w:rPr>
        <w:t xml:space="preserve">Portée fonctionnelle </w:t>
      </w:r>
      <w:r w:rsidRPr="00877353">
        <w:rPr>
          <w:lang w:val="fr-CA"/>
        </w:rPr>
        <w:t xml:space="preserve">— </w:t>
      </w:r>
      <w:r>
        <w:rPr>
          <w:lang w:val="fr-CA"/>
        </w:rPr>
        <w:t>l</w:t>
      </w:r>
      <w:r w:rsidRPr="00877353">
        <w:rPr>
          <w:lang w:val="fr-CA"/>
        </w:rPr>
        <w:t>a distance à laquelle une personne peut tendre la main vers l</w:t>
      </w:r>
      <w:r w:rsidR="0025478E">
        <w:rPr>
          <w:lang w:val="fr-CA"/>
        </w:rPr>
        <w:t>’</w:t>
      </w:r>
      <w:r w:rsidRPr="00877353">
        <w:rPr>
          <w:lang w:val="fr-CA"/>
        </w:rPr>
        <w:t>avant ou sur le côté, au-delà de la portée du bras, tout en gardant une base de soutien fixe en position debout ou assise.</w:t>
      </w:r>
    </w:p>
    <w:p w14:paraId="1381D387" w14:textId="6C161060" w:rsidR="005F3BD1" w:rsidRPr="005F3BD1" w:rsidRDefault="005F3BD1" w:rsidP="005F3BD1">
      <w:pPr>
        <w:rPr>
          <w:lang w:val="fr-CA"/>
        </w:rPr>
      </w:pPr>
      <w:proofErr w:type="gramStart"/>
      <w:r w:rsidRPr="00852CB5">
        <w:t>Source</w:t>
      </w:r>
      <w:r w:rsidR="00BB3D95">
        <w:t> </w:t>
      </w:r>
      <w:r w:rsidRPr="00852CB5">
        <w:t>:</w:t>
      </w:r>
      <w:proofErr w:type="gramEnd"/>
      <w:r w:rsidRPr="00852CB5">
        <w:t xml:space="preserve"> </w:t>
      </w:r>
      <w:proofErr w:type="spellStart"/>
      <w:r>
        <w:t>Modifi</w:t>
      </w:r>
      <w:r>
        <w:rPr>
          <w:rFonts w:cs="Arial"/>
        </w:rPr>
        <w:t>é</w:t>
      </w:r>
      <w:proofErr w:type="spellEnd"/>
      <w:r>
        <w:t xml:space="preserve"> </w:t>
      </w:r>
      <w:r>
        <w:rPr>
          <w:rFonts w:cs="Arial"/>
        </w:rPr>
        <w:t>à</w:t>
      </w:r>
      <w:r>
        <w:t xml:space="preserve"> </w:t>
      </w:r>
      <w:proofErr w:type="spellStart"/>
      <w:r>
        <w:t>partir</w:t>
      </w:r>
      <w:proofErr w:type="spellEnd"/>
      <w:r>
        <w:t xml:space="preserve"> du </w:t>
      </w:r>
      <w:r w:rsidRPr="00852CB5">
        <w:t>Medical Dictionary for the Health Professions and Nursing © Farlex</w:t>
      </w:r>
      <w:r>
        <w:t xml:space="preserve">. </w:t>
      </w:r>
      <w:r w:rsidRPr="005F3BD1">
        <w:rPr>
          <w:lang w:val="fr-CA"/>
        </w:rPr>
        <w:t>2012 pour ajouter une position assise</w:t>
      </w:r>
    </w:p>
    <w:p w14:paraId="28D48B88" w14:textId="1AE5E2E1" w:rsidR="005F3BD1" w:rsidRDefault="00B675EB" w:rsidP="00B54539">
      <w:pPr>
        <w:rPr>
          <w:lang w:val="fr-CA"/>
        </w:rPr>
      </w:pPr>
      <w:r>
        <w:rPr>
          <w:lang w:val="fr-CA"/>
        </w:rPr>
        <w:t>Remarque</w:t>
      </w:r>
      <w:r w:rsidR="00BB3D95">
        <w:rPr>
          <w:lang w:val="fr-CA"/>
        </w:rPr>
        <w:t> </w:t>
      </w:r>
      <w:r w:rsidR="005F3BD1" w:rsidRPr="00877353">
        <w:rPr>
          <w:lang w:val="fr-CA"/>
        </w:rPr>
        <w:t>: Le terme collectif pour la portée frontale et la portée latérale est portée fonctionnelle.</w:t>
      </w:r>
    </w:p>
    <w:p w14:paraId="2BBA577E" w14:textId="3A341EBB" w:rsidR="00756D41" w:rsidRDefault="00756D41" w:rsidP="00B54539">
      <w:pPr>
        <w:rPr>
          <w:lang w:val="fr-CA"/>
        </w:rPr>
      </w:pPr>
      <w:r w:rsidRPr="00877353">
        <w:rPr>
          <w:rStyle w:val="EmphasisUseSparingly"/>
          <w:lang w:val="fr-CA"/>
        </w:rPr>
        <w:t xml:space="preserve">Portée frontale </w:t>
      </w:r>
      <w:r w:rsidRPr="00877353">
        <w:rPr>
          <w:lang w:val="fr-CA"/>
        </w:rPr>
        <w:t xml:space="preserve">— </w:t>
      </w:r>
      <w:r>
        <w:rPr>
          <w:lang w:val="fr-CA"/>
        </w:rPr>
        <w:t>l</w:t>
      </w:r>
      <w:r w:rsidRPr="00877353">
        <w:rPr>
          <w:lang w:val="fr-CA"/>
        </w:rPr>
        <w:t>a distance qu</w:t>
      </w:r>
      <w:r w:rsidR="0025478E">
        <w:rPr>
          <w:lang w:val="fr-CA"/>
        </w:rPr>
        <w:t>’</w:t>
      </w:r>
      <w:r w:rsidRPr="00877353">
        <w:rPr>
          <w:lang w:val="fr-CA"/>
        </w:rPr>
        <w:t>une personne peut étendre l</w:t>
      </w:r>
      <w:r w:rsidR="0025478E">
        <w:rPr>
          <w:lang w:val="fr-CA"/>
        </w:rPr>
        <w:t>’</w:t>
      </w:r>
      <w:r w:rsidRPr="00877353">
        <w:rPr>
          <w:lang w:val="fr-CA"/>
        </w:rPr>
        <w:t>un ou l</w:t>
      </w:r>
      <w:r w:rsidR="0025478E">
        <w:rPr>
          <w:lang w:val="fr-CA"/>
        </w:rPr>
        <w:t>’</w:t>
      </w:r>
      <w:r w:rsidRPr="00877353">
        <w:rPr>
          <w:lang w:val="fr-CA"/>
        </w:rPr>
        <w:t>autre bras, vers l</w:t>
      </w:r>
      <w:r w:rsidR="0025478E">
        <w:rPr>
          <w:lang w:val="fr-CA"/>
        </w:rPr>
        <w:t>’</w:t>
      </w:r>
      <w:r w:rsidRPr="00877353">
        <w:rPr>
          <w:lang w:val="fr-CA"/>
        </w:rPr>
        <w:t>avant et non sur le côté, sans perdre l</w:t>
      </w:r>
      <w:r w:rsidR="0025478E">
        <w:rPr>
          <w:lang w:val="fr-CA"/>
        </w:rPr>
        <w:t>’</w:t>
      </w:r>
      <w:r w:rsidRPr="00877353">
        <w:rPr>
          <w:lang w:val="fr-CA"/>
        </w:rPr>
        <w:t>équilibre, en position debout ou assise.</w:t>
      </w:r>
    </w:p>
    <w:p w14:paraId="6ABB070D" w14:textId="77FE8646" w:rsidR="005F3BD1" w:rsidRDefault="005F3BD1" w:rsidP="00B54539">
      <w:pPr>
        <w:rPr>
          <w:lang w:val="fr-CA"/>
        </w:rPr>
      </w:pPr>
      <w:r w:rsidRPr="00877353">
        <w:rPr>
          <w:rStyle w:val="EmphasisUseSparingly"/>
          <w:lang w:val="fr-CA"/>
        </w:rPr>
        <w:t xml:space="preserve">Portée latérale </w:t>
      </w:r>
      <w:r w:rsidRPr="00877353">
        <w:rPr>
          <w:lang w:val="fr-CA"/>
        </w:rPr>
        <w:t xml:space="preserve">— </w:t>
      </w:r>
      <w:r>
        <w:rPr>
          <w:lang w:val="fr-CA"/>
        </w:rPr>
        <w:t>l</w:t>
      </w:r>
      <w:r w:rsidRPr="00877353">
        <w:rPr>
          <w:lang w:val="fr-CA"/>
        </w:rPr>
        <w:t>a distance qu</w:t>
      </w:r>
      <w:r w:rsidR="0025478E">
        <w:rPr>
          <w:lang w:val="fr-CA"/>
        </w:rPr>
        <w:t>’</w:t>
      </w:r>
      <w:r w:rsidRPr="00877353">
        <w:rPr>
          <w:lang w:val="fr-CA"/>
        </w:rPr>
        <w:t>une personne peut étendre l</w:t>
      </w:r>
      <w:r w:rsidR="0025478E">
        <w:rPr>
          <w:lang w:val="fr-CA"/>
        </w:rPr>
        <w:t>’</w:t>
      </w:r>
      <w:r w:rsidRPr="00877353">
        <w:rPr>
          <w:lang w:val="fr-CA"/>
        </w:rPr>
        <w:t>un ou l</w:t>
      </w:r>
      <w:r w:rsidR="0025478E">
        <w:rPr>
          <w:lang w:val="fr-CA"/>
        </w:rPr>
        <w:t>’</w:t>
      </w:r>
      <w:r w:rsidRPr="00877353">
        <w:rPr>
          <w:lang w:val="fr-CA"/>
        </w:rPr>
        <w:t>autre bras, sur le côté et non vers l</w:t>
      </w:r>
      <w:r w:rsidR="0025478E">
        <w:rPr>
          <w:lang w:val="fr-CA"/>
        </w:rPr>
        <w:t>’</w:t>
      </w:r>
      <w:r w:rsidRPr="00877353">
        <w:rPr>
          <w:lang w:val="fr-CA"/>
        </w:rPr>
        <w:t>avant, sans perdre l</w:t>
      </w:r>
      <w:r w:rsidR="0025478E">
        <w:rPr>
          <w:lang w:val="fr-CA"/>
        </w:rPr>
        <w:t>’</w:t>
      </w:r>
      <w:r w:rsidRPr="00877353">
        <w:rPr>
          <w:lang w:val="fr-CA"/>
        </w:rPr>
        <w:t>équilibre, en position debout ou assise.</w:t>
      </w:r>
    </w:p>
    <w:p w14:paraId="75F439EC" w14:textId="7DF95CD0" w:rsidR="005F3BD1" w:rsidRPr="00877353" w:rsidRDefault="005F3BD1" w:rsidP="00B54539">
      <w:pPr>
        <w:rPr>
          <w:lang w:val="fr-CA"/>
        </w:rPr>
      </w:pPr>
      <w:r w:rsidRPr="00877353">
        <w:rPr>
          <w:rStyle w:val="EmphasisUseSparingly"/>
          <w:lang w:val="fr-CA"/>
        </w:rPr>
        <w:lastRenderedPageBreak/>
        <w:t xml:space="preserve">Reflet </w:t>
      </w:r>
      <w:r w:rsidRPr="00877353">
        <w:rPr>
          <w:lang w:val="fr-CA"/>
        </w:rPr>
        <w:t xml:space="preserve">— </w:t>
      </w:r>
      <w:r>
        <w:rPr>
          <w:lang w:val="fr-CA"/>
        </w:rPr>
        <w:t>l</w:t>
      </w:r>
      <w:r w:rsidRPr="00877353">
        <w:rPr>
          <w:lang w:val="fr-CA"/>
        </w:rPr>
        <w:t>umière vive réfléchie par une surface, un plancher, une fenêtre ou</w:t>
      </w:r>
      <w:r>
        <w:rPr>
          <w:lang w:val="fr-CA"/>
        </w:rPr>
        <w:t xml:space="preserve"> un écran</w:t>
      </w:r>
      <w:r w:rsidRPr="00877353">
        <w:rPr>
          <w:lang w:val="fr-CA"/>
        </w:rPr>
        <w:t>. L</w:t>
      </w:r>
      <w:r w:rsidR="0025478E">
        <w:rPr>
          <w:lang w:val="fr-CA"/>
        </w:rPr>
        <w:t>’</w:t>
      </w:r>
      <w:r w:rsidRPr="00877353">
        <w:rPr>
          <w:lang w:val="fr-CA"/>
        </w:rPr>
        <w:t>éblouissement survient lorsqu</w:t>
      </w:r>
      <w:r w:rsidR="0025478E">
        <w:rPr>
          <w:lang w:val="fr-CA"/>
        </w:rPr>
        <w:t>’</w:t>
      </w:r>
      <w:r w:rsidRPr="00877353">
        <w:rPr>
          <w:lang w:val="fr-CA"/>
        </w:rPr>
        <w:t>une partie de l</w:t>
      </w:r>
      <w:r w:rsidR="0025478E">
        <w:rPr>
          <w:lang w:val="fr-CA"/>
        </w:rPr>
        <w:t>’</w:t>
      </w:r>
      <w:r w:rsidRPr="00877353">
        <w:rPr>
          <w:lang w:val="fr-CA"/>
        </w:rPr>
        <w:t xml:space="preserve">environnement est beaucoup plus lumineuse que </w:t>
      </w:r>
      <w:r w:rsidR="001D30D7" w:rsidRPr="00877353">
        <w:rPr>
          <w:lang w:val="fr-CA"/>
        </w:rPr>
        <w:t>la zone environnante</w:t>
      </w:r>
      <w:r w:rsidRPr="00877353">
        <w:rPr>
          <w:lang w:val="fr-CA"/>
        </w:rPr>
        <w:t>, causant un inconfort ou une perte de performance visuelle.</w:t>
      </w:r>
    </w:p>
    <w:p w14:paraId="7D13561C" w14:textId="3C3E8548" w:rsidR="00B54539" w:rsidRPr="00877353" w:rsidRDefault="00B54539" w:rsidP="00B54539">
      <w:pPr>
        <w:rPr>
          <w:lang w:val="fr-CA"/>
        </w:rPr>
      </w:pPr>
      <w:r w:rsidRPr="00877353">
        <w:rPr>
          <w:rStyle w:val="EmphasisUseSparingly"/>
          <w:lang w:val="fr-CA"/>
        </w:rPr>
        <w:t xml:space="preserve">Rendu des couleurs </w:t>
      </w:r>
      <w:r w:rsidR="0087366A" w:rsidRPr="00877353">
        <w:rPr>
          <w:lang w:val="fr-CA"/>
        </w:rPr>
        <w:t>— le</w:t>
      </w:r>
      <w:r w:rsidRPr="00877353">
        <w:rPr>
          <w:lang w:val="fr-CA"/>
        </w:rPr>
        <w:t xml:space="preserve"> processus de conversion des données d</w:t>
      </w:r>
      <w:r w:rsidR="0025478E">
        <w:rPr>
          <w:lang w:val="fr-CA"/>
        </w:rPr>
        <w:t>’</w:t>
      </w:r>
      <w:r w:rsidRPr="00877353">
        <w:rPr>
          <w:lang w:val="fr-CA"/>
        </w:rPr>
        <w:t>image qui décrivent les coordonnées de l</w:t>
      </w:r>
      <w:r w:rsidR="0025478E">
        <w:rPr>
          <w:lang w:val="fr-CA"/>
        </w:rPr>
        <w:t>’</w:t>
      </w:r>
      <w:r w:rsidRPr="00877353">
        <w:rPr>
          <w:lang w:val="fr-CA"/>
        </w:rPr>
        <w:t>espace colorimétrique des éléments d</w:t>
      </w:r>
      <w:r w:rsidR="0025478E">
        <w:rPr>
          <w:lang w:val="fr-CA"/>
        </w:rPr>
        <w:t>’</w:t>
      </w:r>
      <w:r w:rsidRPr="00877353">
        <w:rPr>
          <w:lang w:val="fr-CA"/>
        </w:rPr>
        <w:t>une scène en données d</w:t>
      </w:r>
      <w:r w:rsidR="0025478E">
        <w:rPr>
          <w:lang w:val="fr-CA"/>
        </w:rPr>
        <w:t>’</w:t>
      </w:r>
      <w:r w:rsidRPr="00877353">
        <w:rPr>
          <w:lang w:val="fr-CA"/>
        </w:rPr>
        <w:t>image référées à la sortie qui représentent les coordonnées de l</w:t>
      </w:r>
      <w:r w:rsidR="0025478E">
        <w:rPr>
          <w:lang w:val="fr-CA"/>
        </w:rPr>
        <w:t>’</w:t>
      </w:r>
      <w:r w:rsidRPr="00877353">
        <w:rPr>
          <w:lang w:val="fr-CA"/>
        </w:rPr>
        <w:t>espace colorimétrique de ces mêmes éléments tels qu</w:t>
      </w:r>
      <w:r w:rsidR="0025478E">
        <w:rPr>
          <w:lang w:val="fr-CA"/>
        </w:rPr>
        <w:t>’</w:t>
      </w:r>
      <w:r w:rsidRPr="00877353">
        <w:rPr>
          <w:lang w:val="fr-CA"/>
        </w:rPr>
        <w:t>ils apparaissent dans une reproduction.</w:t>
      </w:r>
    </w:p>
    <w:p w14:paraId="69DB735E" w14:textId="0E4BE023" w:rsidR="00B54539" w:rsidRDefault="00B675EB" w:rsidP="00E666ED">
      <w:pPr>
        <w:rPr>
          <w:lang w:val="fr-CA"/>
        </w:rPr>
      </w:pPr>
      <w:r>
        <w:rPr>
          <w:lang w:val="fr-CA"/>
        </w:rPr>
        <w:t>Remarque</w:t>
      </w:r>
      <w:r w:rsidR="00BB3D95">
        <w:rPr>
          <w:lang w:val="fr-CA"/>
        </w:rPr>
        <w:t> </w:t>
      </w:r>
      <w:r w:rsidR="00B54539" w:rsidRPr="00877353">
        <w:rPr>
          <w:lang w:val="fr-CA"/>
        </w:rPr>
        <w:t>: Le rendu des couleurs implique généralement une ou plusieurs des étapes suivantes</w:t>
      </w:r>
      <w:r w:rsidR="00BB3D95">
        <w:rPr>
          <w:lang w:val="fr-CA"/>
        </w:rPr>
        <w:t> </w:t>
      </w:r>
      <w:r w:rsidR="00B54539" w:rsidRPr="00877353">
        <w:rPr>
          <w:lang w:val="fr-CA"/>
        </w:rPr>
        <w:t>: ajuster les différences de conditions de visionnement entre l</w:t>
      </w:r>
      <w:r w:rsidR="0025478E">
        <w:rPr>
          <w:lang w:val="fr-CA"/>
        </w:rPr>
        <w:t>’</w:t>
      </w:r>
      <w:r w:rsidR="00B54539" w:rsidRPr="00877353">
        <w:rPr>
          <w:lang w:val="fr-CA"/>
        </w:rPr>
        <w:t>entrée et la sortie, cartographier l</w:t>
      </w:r>
      <w:r w:rsidR="0025478E">
        <w:rPr>
          <w:lang w:val="fr-CA"/>
        </w:rPr>
        <w:t>’</w:t>
      </w:r>
      <w:r w:rsidR="00B54539" w:rsidRPr="00877353">
        <w:rPr>
          <w:lang w:val="fr-CA"/>
        </w:rPr>
        <w:t>échelle de tonalité et la gamme de couleurs pour s</w:t>
      </w:r>
      <w:r w:rsidR="0025478E">
        <w:rPr>
          <w:lang w:val="fr-CA"/>
        </w:rPr>
        <w:t>’</w:t>
      </w:r>
      <w:r w:rsidR="00B54539" w:rsidRPr="00877353">
        <w:rPr>
          <w:lang w:val="fr-CA"/>
        </w:rPr>
        <w:t>adapter à la plage dynamique et aux capacités de couleur de la reproduction, et appliquer des ajustements selon les préférences du spectateur.</w:t>
      </w:r>
    </w:p>
    <w:p w14:paraId="0DA5D72E" w14:textId="385BBCDE" w:rsidR="007E6572" w:rsidRDefault="000D3CE5" w:rsidP="000D3CE5">
      <w:pPr>
        <w:ind w:left="709" w:firstLine="11"/>
        <w:rPr>
          <w:lang w:val="fr-CA"/>
        </w:rPr>
      </w:pPr>
      <w:r w:rsidRPr="0075372A">
        <w:rPr>
          <w:b/>
          <w:bCs/>
          <w:lang w:val="fr-CA"/>
        </w:rPr>
        <w:t>Indice de rendu des couleurs</w:t>
      </w:r>
      <w:r w:rsidRPr="000D3CE5">
        <w:rPr>
          <w:lang w:val="fr-CA"/>
        </w:rPr>
        <w:t xml:space="preserve"> — une valeur sans dimension, mesurée en Ra, qui indique la précision avec laquelle une source lumineuse révèle les couleurs de divers objets par rapport à une source de lumière standard ou naturelle.</w:t>
      </w:r>
    </w:p>
    <w:p w14:paraId="5CF20E17" w14:textId="39C43B84" w:rsidR="005F3BD1" w:rsidRDefault="005F3BD1" w:rsidP="00E666ED">
      <w:pPr>
        <w:rPr>
          <w:lang w:val="fr-CA"/>
        </w:rPr>
      </w:pPr>
      <w:r w:rsidRPr="00877353">
        <w:rPr>
          <w:rStyle w:val="EmphasisUseSparingly"/>
          <w:lang w:val="fr-CA"/>
        </w:rPr>
        <w:t xml:space="preserve">Signalisation </w:t>
      </w:r>
      <w:r w:rsidRPr="00877353">
        <w:rPr>
          <w:lang w:val="fr-CA"/>
        </w:rPr>
        <w:t>— moyen de transmettre des informations sur la direction, l</w:t>
      </w:r>
      <w:r w:rsidR="0025478E">
        <w:rPr>
          <w:lang w:val="fr-CA"/>
        </w:rPr>
        <w:t>’</w:t>
      </w:r>
      <w:r w:rsidRPr="00877353">
        <w:rPr>
          <w:lang w:val="fr-CA"/>
        </w:rPr>
        <w:t>emplacement, la sécurité ou l</w:t>
      </w:r>
      <w:r w:rsidR="0025478E">
        <w:rPr>
          <w:lang w:val="fr-CA"/>
        </w:rPr>
        <w:t>’</w:t>
      </w:r>
      <w:r w:rsidRPr="00877353">
        <w:rPr>
          <w:lang w:val="fr-CA"/>
        </w:rPr>
        <w:t>action, conçue pour être claire, concise et cohérente. La signalisation peut être audible, textuelle, symbolique, tactile ou graphique.</w:t>
      </w:r>
    </w:p>
    <w:p w14:paraId="520D66EB" w14:textId="326971FB" w:rsidR="005F3BD1" w:rsidRDefault="005F3BD1" w:rsidP="00E666ED">
      <w:pPr>
        <w:rPr>
          <w:lang w:val="fr-CA"/>
        </w:rPr>
      </w:pPr>
      <w:r w:rsidRPr="00877353">
        <w:rPr>
          <w:rStyle w:val="EmphasisUseSparingly"/>
          <w:lang w:val="fr-CA"/>
        </w:rPr>
        <w:t xml:space="preserve">Symbole graphique </w:t>
      </w:r>
      <w:r w:rsidRPr="00877353">
        <w:rPr>
          <w:lang w:val="fr-CA"/>
        </w:rPr>
        <w:t xml:space="preserve">— </w:t>
      </w:r>
      <w:r>
        <w:rPr>
          <w:lang w:val="fr-CA"/>
        </w:rPr>
        <w:t>u</w:t>
      </w:r>
      <w:r w:rsidRPr="00877353">
        <w:rPr>
          <w:lang w:val="fr-CA"/>
        </w:rPr>
        <w:t>ne figure ou une image visuellement identifiable qui transmet une information ou un sens précis sans recourir au langage écrit ou parlé.</w:t>
      </w:r>
    </w:p>
    <w:p w14:paraId="28511B8A" w14:textId="0D259214" w:rsidR="005F3BD1" w:rsidRPr="00877353" w:rsidRDefault="005F3BD1" w:rsidP="005F3BD1">
      <w:pPr>
        <w:rPr>
          <w:lang w:val="fr-CA"/>
        </w:rPr>
      </w:pPr>
      <w:bookmarkStart w:id="547" w:name="_Hlk178602994"/>
      <w:r w:rsidRPr="00877353">
        <w:rPr>
          <w:rStyle w:val="EmphasisUseSparingly"/>
          <w:lang w:val="fr-CA"/>
        </w:rPr>
        <w:t xml:space="preserve">Tactile </w:t>
      </w:r>
      <w:r w:rsidRPr="00877353">
        <w:rPr>
          <w:lang w:val="fr-CA"/>
        </w:rPr>
        <w:t xml:space="preserve">— </w:t>
      </w:r>
      <w:r>
        <w:rPr>
          <w:lang w:val="fr-CA"/>
        </w:rPr>
        <w:t>p</w:t>
      </w:r>
      <w:r w:rsidRPr="00877353">
        <w:rPr>
          <w:lang w:val="fr-CA"/>
        </w:rPr>
        <w:t>erceptible par le sens du toucher; en lien avec des caractéristiques physiques de surface destinées à être ressenties plutôt qu</w:t>
      </w:r>
      <w:r w:rsidR="0025478E">
        <w:rPr>
          <w:lang w:val="fr-CA"/>
        </w:rPr>
        <w:t>’</w:t>
      </w:r>
      <w:r w:rsidRPr="00877353">
        <w:rPr>
          <w:lang w:val="fr-CA"/>
        </w:rPr>
        <w:t>observées ou entendues.</w:t>
      </w:r>
      <w:bookmarkEnd w:id="547"/>
    </w:p>
    <w:p w14:paraId="0A97E6AB" w14:textId="01152C4F" w:rsidR="0097563F" w:rsidRPr="00AC089A" w:rsidRDefault="00B54539" w:rsidP="00AC089A">
      <w:pPr>
        <w:rPr>
          <w:lang w:val="fr-CA"/>
        </w:rPr>
      </w:pPr>
      <w:r w:rsidRPr="00877353">
        <w:rPr>
          <w:rStyle w:val="EmphasisUseSparingly"/>
          <w:lang w:val="fr-CA"/>
        </w:rPr>
        <w:lastRenderedPageBreak/>
        <w:t xml:space="preserve">Valeur de réflectance </w:t>
      </w:r>
      <w:r w:rsidR="009A68BA">
        <w:rPr>
          <w:rStyle w:val="EmphasisUseSparingly"/>
          <w:rFonts w:cs="Arial"/>
          <w:lang w:val="fr-CA"/>
        </w:rPr>
        <w:t>à</w:t>
      </w:r>
      <w:r w:rsidRPr="00877353">
        <w:rPr>
          <w:rStyle w:val="EmphasisUseSparingly"/>
          <w:lang w:val="fr-CA"/>
        </w:rPr>
        <w:t xml:space="preserve"> la lumière</w:t>
      </w:r>
      <w:r w:rsidRPr="00877353">
        <w:rPr>
          <w:lang w:val="fr-CA"/>
        </w:rPr>
        <w:t xml:space="preserve"> — </w:t>
      </w:r>
      <w:r w:rsidR="004458B6">
        <w:rPr>
          <w:lang w:val="fr-CA"/>
        </w:rPr>
        <w:t>u</w:t>
      </w:r>
      <w:r w:rsidRPr="00877353">
        <w:rPr>
          <w:lang w:val="fr-CA"/>
        </w:rPr>
        <w:t>ne mesure numérique de la fraction de lumière visible qu</w:t>
      </w:r>
      <w:r w:rsidR="0025478E">
        <w:rPr>
          <w:lang w:val="fr-CA"/>
        </w:rPr>
        <w:t>’</w:t>
      </w:r>
      <w:r w:rsidRPr="00877353">
        <w:rPr>
          <w:lang w:val="fr-CA"/>
        </w:rPr>
        <w:t>une surface réfléchit lorsqu</w:t>
      </w:r>
      <w:r w:rsidR="0025478E">
        <w:rPr>
          <w:lang w:val="fr-CA"/>
        </w:rPr>
        <w:t>’</w:t>
      </w:r>
      <w:r w:rsidRPr="00877353">
        <w:rPr>
          <w:lang w:val="fr-CA"/>
        </w:rPr>
        <w:t>elle est éclairée par une source lumineuse.</w:t>
      </w:r>
      <w:bookmarkStart w:id="548" w:name="_Toc108778169"/>
      <w:bookmarkStart w:id="549" w:name="_Toc108778303"/>
      <w:bookmarkStart w:id="550" w:name="_Toc154490816"/>
    </w:p>
    <w:p w14:paraId="627F4BB5" w14:textId="77777777" w:rsidR="002B6C3E" w:rsidRDefault="002B6C3E" w:rsidP="00E006A1">
      <w:pPr>
        <w:pStyle w:val="Heading2"/>
      </w:pPr>
      <w:bookmarkStart w:id="551" w:name="_Toc219706186"/>
      <w:bookmarkStart w:id="552" w:name="_Toc108778170"/>
      <w:bookmarkStart w:id="553" w:name="_Toc108778304"/>
      <w:bookmarkStart w:id="554" w:name="_Toc154490817"/>
      <w:bookmarkEnd w:id="548"/>
      <w:bookmarkEnd w:id="549"/>
      <w:bookmarkEnd w:id="550"/>
      <w:proofErr w:type="spellStart"/>
      <w:r>
        <w:t>Abréviations</w:t>
      </w:r>
      <w:bookmarkEnd w:id="551"/>
      <w:proofErr w:type="spellEnd"/>
    </w:p>
    <w:bookmarkEnd w:id="552"/>
    <w:bookmarkEnd w:id="553"/>
    <w:bookmarkEnd w:id="554"/>
    <w:p w14:paraId="31743A23" w14:textId="13C15391" w:rsidR="003E674C" w:rsidRPr="00877353" w:rsidRDefault="003E674C" w:rsidP="00D37853">
      <w:pPr>
        <w:rPr>
          <w:lang w:val="fr-CA"/>
        </w:rPr>
      </w:pPr>
      <w:r w:rsidRPr="00877353">
        <w:rPr>
          <w:lang w:val="fr-CA"/>
        </w:rPr>
        <w:t>Les abréviations suivantes s</w:t>
      </w:r>
      <w:r w:rsidR="0025478E">
        <w:rPr>
          <w:lang w:val="fr-CA"/>
        </w:rPr>
        <w:t>’</w:t>
      </w:r>
      <w:r w:rsidRPr="00877353">
        <w:rPr>
          <w:lang w:val="fr-CA"/>
        </w:rPr>
        <w:t>appliqueront dans cette norme</w:t>
      </w:r>
      <w:r w:rsidR="00BB3D95">
        <w:rPr>
          <w:lang w:val="fr-CA"/>
        </w:rPr>
        <w:t> </w:t>
      </w:r>
      <w:r w:rsidRPr="00877353">
        <w:rPr>
          <w:lang w:val="fr-CA"/>
        </w:rPr>
        <w:t>:</w:t>
      </w:r>
    </w:p>
    <w:p w14:paraId="36D65783" w14:textId="222A951B" w:rsidR="00E36BBD" w:rsidRDefault="00E36BBD" w:rsidP="00D52D4B">
      <w:pPr>
        <w:rPr>
          <w:lang w:val="fr-CA"/>
        </w:rPr>
      </w:pPr>
      <w:r>
        <w:rPr>
          <w:lang w:val="fr-CA"/>
        </w:rPr>
        <w:t>ACL</w:t>
      </w:r>
      <w:r w:rsidRPr="00877353">
        <w:rPr>
          <w:lang w:val="fr-CA"/>
        </w:rPr>
        <w:t xml:space="preserve"> — Écran à cristaux liquides</w:t>
      </w:r>
    </w:p>
    <w:p w14:paraId="0771F822" w14:textId="0237EEF1" w:rsidR="00D52D4B" w:rsidRPr="00D52D4B" w:rsidRDefault="00D52D4B" w:rsidP="00D52D4B">
      <w:pPr>
        <w:rPr>
          <w:lang w:val="fr-CA"/>
        </w:rPr>
      </w:pPr>
      <w:r w:rsidRPr="00877353">
        <w:rPr>
          <w:lang w:val="fr-CA"/>
        </w:rPr>
        <w:t>CIE</w:t>
      </w:r>
      <w:r w:rsidR="00065644" w:rsidRPr="00877353">
        <w:rPr>
          <w:lang w:val="fr-CA"/>
        </w:rPr>
        <w:t xml:space="preserve"> — </w:t>
      </w:r>
      <w:r w:rsidRPr="00877353">
        <w:rPr>
          <w:lang w:val="fr-CA"/>
        </w:rPr>
        <w:t>Commission Internationale de l</w:t>
      </w:r>
      <w:r w:rsidR="0025478E">
        <w:rPr>
          <w:lang w:val="fr-CA"/>
        </w:rPr>
        <w:t>’</w:t>
      </w:r>
      <w:r w:rsidRPr="00877353">
        <w:rPr>
          <w:lang w:val="fr-CA"/>
        </w:rPr>
        <w:t>Éclairage</w:t>
      </w:r>
    </w:p>
    <w:p w14:paraId="3A48F3F0" w14:textId="3E8CE332" w:rsidR="00D52D4B" w:rsidRPr="00877353" w:rsidRDefault="00D52D4B" w:rsidP="00D52D4B">
      <w:pPr>
        <w:rPr>
          <w:lang w:val="fr-CA"/>
        </w:rPr>
      </w:pPr>
      <w:r w:rsidRPr="00877353">
        <w:rPr>
          <w:lang w:val="fr-CA"/>
        </w:rPr>
        <w:t>Cm</w:t>
      </w:r>
      <w:r w:rsidR="00065644" w:rsidRPr="00877353">
        <w:rPr>
          <w:lang w:val="fr-CA"/>
        </w:rPr>
        <w:t xml:space="preserve"> — </w:t>
      </w:r>
      <w:r w:rsidRPr="00877353">
        <w:rPr>
          <w:lang w:val="fr-CA"/>
        </w:rPr>
        <w:t>Contraste de Michelson</w:t>
      </w:r>
    </w:p>
    <w:p w14:paraId="2591E0D2" w14:textId="40374463" w:rsidR="00D52D4B" w:rsidRPr="00877353" w:rsidRDefault="00D52D4B" w:rsidP="00D52D4B">
      <w:pPr>
        <w:rPr>
          <w:lang w:val="fr-CA"/>
        </w:rPr>
      </w:pPr>
      <w:r w:rsidRPr="00877353">
        <w:rPr>
          <w:lang w:val="fr-CA"/>
        </w:rPr>
        <w:t>CW</w:t>
      </w:r>
      <w:r w:rsidR="00065644" w:rsidRPr="00877353">
        <w:rPr>
          <w:lang w:val="fr-CA"/>
        </w:rPr>
        <w:t xml:space="preserve"> —</w:t>
      </w:r>
      <w:r w:rsidR="00D8285E">
        <w:rPr>
          <w:lang w:val="fr-CA"/>
        </w:rPr>
        <w:t xml:space="preserve"> </w:t>
      </w:r>
      <w:r w:rsidRPr="00877353">
        <w:rPr>
          <w:lang w:val="fr-CA"/>
        </w:rPr>
        <w:t>Contraste de Weber</w:t>
      </w:r>
    </w:p>
    <w:p w14:paraId="686AAA55" w14:textId="32A1F70C" w:rsidR="00D52D4B" w:rsidRDefault="00D52D4B" w:rsidP="00D52D4B">
      <w:pPr>
        <w:rPr>
          <w:lang w:val="fr-CA"/>
        </w:rPr>
      </w:pPr>
      <w:proofErr w:type="gramStart"/>
      <w:r w:rsidRPr="00877353">
        <w:rPr>
          <w:lang w:val="fr-CA"/>
        </w:rPr>
        <w:t>dB</w:t>
      </w:r>
      <w:proofErr w:type="gramEnd"/>
      <w:r w:rsidRPr="00877353">
        <w:rPr>
          <w:lang w:val="fr-CA"/>
        </w:rPr>
        <w:t xml:space="preserve"> SPL</w:t>
      </w:r>
      <w:r w:rsidR="00065644" w:rsidRPr="00877353">
        <w:rPr>
          <w:lang w:val="fr-CA"/>
        </w:rPr>
        <w:t xml:space="preserve"> —</w:t>
      </w:r>
      <w:r w:rsidRPr="00877353">
        <w:rPr>
          <w:lang w:val="fr-CA"/>
        </w:rPr>
        <w:t xml:space="preserve"> Niveau de pression acoustique mesuré en décibels </w:t>
      </w:r>
    </w:p>
    <w:p w14:paraId="3D914EAF" w14:textId="489E85DF" w:rsidR="006475BD" w:rsidRPr="00877353" w:rsidRDefault="006475BD" w:rsidP="00D52D4B">
      <w:pPr>
        <w:rPr>
          <w:lang w:val="fr-CA"/>
        </w:rPr>
      </w:pPr>
      <w:r w:rsidRPr="00877353">
        <w:rPr>
          <w:lang w:val="fr-CA"/>
        </w:rPr>
        <w:t>DEL — Diode électroluminescente</w:t>
      </w:r>
    </w:p>
    <w:p w14:paraId="4ABBC02F" w14:textId="10916E80" w:rsidR="007C4EF0" w:rsidRPr="00877353" w:rsidRDefault="00D52D4B" w:rsidP="00D52D4B">
      <w:pPr>
        <w:rPr>
          <w:lang w:val="fr-CA"/>
        </w:rPr>
      </w:pPr>
      <w:proofErr w:type="spellStart"/>
      <w:r w:rsidRPr="00877353">
        <w:rPr>
          <w:lang w:val="fr-CA"/>
        </w:rPr>
        <w:t>Ft-candles</w:t>
      </w:r>
      <w:proofErr w:type="spellEnd"/>
      <w:r w:rsidR="005F6C38">
        <w:rPr>
          <w:lang w:val="fr-CA"/>
        </w:rPr>
        <w:t xml:space="preserve"> </w:t>
      </w:r>
      <w:r w:rsidR="00FC406A">
        <w:rPr>
          <w:lang w:val="fr-CA"/>
        </w:rPr>
        <w:t>—</w:t>
      </w:r>
      <w:r w:rsidR="00CD4260">
        <w:rPr>
          <w:lang w:val="fr-CA"/>
        </w:rPr>
        <w:t xml:space="preserve"> </w:t>
      </w:r>
      <w:r w:rsidRPr="00877353">
        <w:rPr>
          <w:lang w:val="fr-CA"/>
        </w:rPr>
        <w:t xml:space="preserve">Foot </w:t>
      </w:r>
      <w:proofErr w:type="spellStart"/>
      <w:r w:rsidRPr="00877353">
        <w:rPr>
          <w:lang w:val="fr-CA"/>
        </w:rPr>
        <w:t>candles</w:t>
      </w:r>
      <w:proofErr w:type="spellEnd"/>
    </w:p>
    <w:p w14:paraId="7715C753" w14:textId="0ECA683B" w:rsidR="006475BD" w:rsidRPr="00877353" w:rsidRDefault="006475BD" w:rsidP="00D52D4B">
      <w:pPr>
        <w:rPr>
          <w:lang w:val="fr-CA"/>
        </w:rPr>
      </w:pPr>
      <w:r>
        <w:rPr>
          <w:lang w:val="fr-CA"/>
        </w:rPr>
        <w:t>ITSM</w:t>
      </w:r>
      <w:r w:rsidRPr="00316B7D">
        <w:rPr>
          <w:lang w:val="fr-CA"/>
        </w:rPr>
        <w:t xml:space="preserve"> — Indicateur tactile de surface de marche</w:t>
      </w:r>
    </w:p>
    <w:p w14:paraId="6CD5EB48" w14:textId="0301E18A" w:rsidR="00D52D4B" w:rsidRPr="00877353" w:rsidRDefault="00D52D4B" w:rsidP="00D52D4B">
      <w:pPr>
        <w:rPr>
          <w:lang w:val="fr-CA"/>
        </w:rPr>
      </w:pPr>
      <w:r w:rsidRPr="00877353">
        <w:rPr>
          <w:lang w:val="fr-CA"/>
        </w:rPr>
        <w:t>L</w:t>
      </w:r>
      <w:r w:rsidR="001E59BB">
        <w:rPr>
          <w:lang w:val="fr-CA"/>
        </w:rPr>
        <w:t>m</w:t>
      </w:r>
      <w:r w:rsidR="00065644" w:rsidRPr="00877353">
        <w:rPr>
          <w:lang w:val="fr-CA"/>
        </w:rPr>
        <w:t xml:space="preserve"> —</w:t>
      </w:r>
      <w:r w:rsidRPr="00877353">
        <w:rPr>
          <w:lang w:val="fr-CA"/>
        </w:rPr>
        <w:t xml:space="preserve"> Lumen</w:t>
      </w:r>
    </w:p>
    <w:p w14:paraId="32CAB930" w14:textId="47D90748" w:rsidR="00D52D4B" w:rsidRPr="00877353" w:rsidRDefault="00835B0F" w:rsidP="00D52D4B">
      <w:pPr>
        <w:rPr>
          <w:lang w:val="fr-CA"/>
        </w:rPr>
      </w:pPr>
      <w:proofErr w:type="gramStart"/>
      <w:r w:rsidRPr="00877353">
        <w:rPr>
          <w:lang w:val="fr-CA"/>
        </w:rPr>
        <w:t>lx</w:t>
      </w:r>
      <w:proofErr w:type="gramEnd"/>
      <w:r w:rsidR="00065644" w:rsidRPr="00877353">
        <w:rPr>
          <w:lang w:val="fr-CA"/>
        </w:rPr>
        <w:t xml:space="preserve"> —</w:t>
      </w:r>
      <w:r w:rsidR="00D52D4B" w:rsidRPr="00877353">
        <w:rPr>
          <w:lang w:val="fr-CA"/>
        </w:rPr>
        <w:t xml:space="preserve"> Lux</w:t>
      </w:r>
    </w:p>
    <w:p w14:paraId="262F2814" w14:textId="1FBFCD7F" w:rsidR="00D52D4B" w:rsidRDefault="00D52D4B" w:rsidP="00D52D4B">
      <w:pPr>
        <w:rPr>
          <w:lang w:val="fr-CA"/>
        </w:rPr>
      </w:pPr>
      <w:proofErr w:type="gramStart"/>
      <w:r w:rsidRPr="00877353">
        <w:rPr>
          <w:lang w:val="fr-CA"/>
        </w:rPr>
        <w:t>mm</w:t>
      </w:r>
      <w:proofErr w:type="gramEnd"/>
      <w:r w:rsidR="00065644" w:rsidRPr="00877353">
        <w:rPr>
          <w:lang w:val="fr-CA"/>
        </w:rPr>
        <w:t xml:space="preserve"> —</w:t>
      </w:r>
      <w:r w:rsidRPr="00877353">
        <w:rPr>
          <w:lang w:val="fr-CA"/>
        </w:rPr>
        <w:t xml:space="preserve"> Millimètres</w:t>
      </w:r>
    </w:p>
    <w:p w14:paraId="6883D4EF" w14:textId="61107F84" w:rsidR="00D52D4B" w:rsidRDefault="00D52D4B" w:rsidP="00D52D4B">
      <w:pPr>
        <w:rPr>
          <w:lang w:val="fr-CA"/>
        </w:rPr>
      </w:pPr>
      <w:proofErr w:type="gramStart"/>
      <w:r w:rsidRPr="00A07F0D">
        <w:rPr>
          <w:lang w:val="fr-CA"/>
        </w:rPr>
        <w:t>px</w:t>
      </w:r>
      <w:proofErr w:type="gramEnd"/>
      <w:r w:rsidR="00065644" w:rsidRPr="00A07F0D">
        <w:rPr>
          <w:lang w:val="fr-CA"/>
        </w:rPr>
        <w:t xml:space="preserve"> —</w:t>
      </w:r>
      <w:r w:rsidRPr="00A07F0D">
        <w:rPr>
          <w:lang w:val="fr-CA"/>
        </w:rPr>
        <w:t xml:space="preserve"> Pixel</w:t>
      </w:r>
    </w:p>
    <w:p w14:paraId="787F780E" w14:textId="73C8BF04" w:rsidR="006475BD" w:rsidRPr="00A07F0D" w:rsidRDefault="006475BD" w:rsidP="00D52D4B">
      <w:pPr>
        <w:rPr>
          <w:lang w:val="fr-CA"/>
        </w:rPr>
      </w:pPr>
      <w:r w:rsidRPr="00877353">
        <w:rPr>
          <w:lang w:val="fr-CA"/>
        </w:rPr>
        <w:t>Ra — Indice de rendu des couleurs</w:t>
      </w:r>
    </w:p>
    <w:p w14:paraId="4B8BF53B" w14:textId="098DE7F6" w:rsidR="00CB77C2" w:rsidRDefault="00CB77C2" w:rsidP="00D52D4B">
      <w:pPr>
        <w:rPr>
          <w:lang w:val="fr-CA"/>
        </w:rPr>
      </w:pPr>
      <w:r>
        <w:rPr>
          <w:lang w:val="fr-CA"/>
        </w:rPr>
        <w:t xml:space="preserve">UB </w:t>
      </w:r>
      <w:r w:rsidRPr="00876C8D">
        <w:rPr>
          <w:lang w:val="fr-CA"/>
        </w:rPr>
        <w:t>—</w:t>
      </w:r>
      <w:r>
        <w:rPr>
          <w:lang w:val="fr-CA"/>
        </w:rPr>
        <w:t xml:space="preserve"> </w:t>
      </w:r>
      <w:r w:rsidRPr="00CB77C2">
        <w:rPr>
          <w:rStyle w:val="EmphasisUseSparingly"/>
          <w:b w:val="0"/>
          <w:bCs/>
          <w:lang w:val="fr-CA"/>
        </w:rPr>
        <w:t>Unité de brillance</w:t>
      </w:r>
    </w:p>
    <w:p w14:paraId="251703BD" w14:textId="5A8BBBC8" w:rsidR="00D52D4B" w:rsidRPr="00876C8D" w:rsidRDefault="00D52D4B" w:rsidP="00D52D4B">
      <w:pPr>
        <w:rPr>
          <w:lang w:val="fr-CA"/>
        </w:rPr>
      </w:pPr>
      <w:r w:rsidRPr="00876C8D">
        <w:rPr>
          <w:lang w:val="fr-CA"/>
        </w:rPr>
        <w:t>UEB</w:t>
      </w:r>
      <w:r w:rsidR="00065644" w:rsidRPr="00876C8D">
        <w:rPr>
          <w:lang w:val="fr-CA"/>
        </w:rPr>
        <w:t xml:space="preserve"> —</w:t>
      </w:r>
      <w:r w:rsidRPr="00876C8D">
        <w:rPr>
          <w:lang w:val="fr-CA"/>
        </w:rPr>
        <w:t xml:space="preserve"> </w:t>
      </w:r>
      <w:proofErr w:type="spellStart"/>
      <w:r w:rsidR="00FD17DF" w:rsidRPr="00876C8D">
        <w:rPr>
          <w:lang w:val="fr-CA"/>
        </w:rPr>
        <w:t>Unified</w:t>
      </w:r>
      <w:proofErr w:type="spellEnd"/>
      <w:r w:rsidR="00FD17DF" w:rsidRPr="00876C8D">
        <w:rPr>
          <w:lang w:val="fr-CA"/>
        </w:rPr>
        <w:t xml:space="preserve"> English Braille (en anglais seulement)</w:t>
      </w:r>
    </w:p>
    <w:p w14:paraId="7EF72DB1" w14:textId="63630BE9" w:rsidR="00D52D4B" w:rsidRPr="00876C8D" w:rsidRDefault="00D52D4B" w:rsidP="00D52D4B">
      <w:pPr>
        <w:rPr>
          <w:lang w:val="fr-CA"/>
        </w:rPr>
      </w:pPr>
      <w:r w:rsidRPr="00876C8D">
        <w:rPr>
          <w:lang w:val="fr-CA"/>
        </w:rPr>
        <w:lastRenderedPageBreak/>
        <w:t>UGR</w:t>
      </w:r>
      <w:r w:rsidR="00065644" w:rsidRPr="00876C8D">
        <w:rPr>
          <w:lang w:val="fr-CA"/>
        </w:rPr>
        <w:t xml:space="preserve"> —</w:t>
      </w:r>
      <w:r w:rsidRPr="00876C8D">
        <w:rPr>
          <w:lang w:val="fr-CA"/>
        </w:rPr>
        <w:t xml:space="preserve"> </w:t>
      </w:r>
      <w:proofErr w:type="spellStart"/>
      <w:r w:rsidRPr="00876C8D">
        <w:rPr>
          <w:lang w:val="fr-CA"/>
        </w:rPr>
        <w:t>Unified</w:t>
      </w:r>
      <w:proofErr w:type="spellEnd"/>
      <w:r w:rsidRPr="00876C8D">
        <w:rPr>
          <w:lang w:val="fr-CA"/>
        </w:rPr>
        <w:t xml:space="preserve"> </w:t>
      </w:r>
      <w:proofErr w:type="spellStart"/>
      <w:r w:rsidRPr="00876C8D">
        <w:rPr>
          <w:lang w:val="fr-CA"/>
        </w:rPr>
        <w:t>Glare</w:t>
      </w:r>
      <w:proofErr w:type="spellEnd"/>
      <w:r w:rsidRPr="00876C8D">
        <w:rPr>
          <w:lang w:val="fr-CA"/>
        </w:rPr>
        <w:t xml:space="preserve"> Rating </w:t>
      </w:r>
      <w:r w:rsidR="00876C8D" w:rsidRPr="00876C8D">
        <w:rPr>
          <w:lang w:val="fr-CA"/>
        </w:rPr>
        <w:t>(en anglais se</w:t>
      </w:r>
      <w:r w:rsidR="00876C8D">
        <w:rPr>
          <w:lang w:val="fr-CA"/>
        </w:rPr>
        <w:t>ulement)</w:t>
      </w:r>
    </w:p>
    <w:p w14:paraId="69600516" w14:textId="4524849D" w:rsidR="000847C3" w:rsidRPr="00876C8D" w:rsidRDefault="00D52D4B" w:rsidP="000847C3">
      <w:pPr>
        <w:rPr>
          <w:lang w:val="fr-CA"/>
        </w:rPr>
      </w:pPr>
      <w:r w:rsidRPr="00876C8D">
        <w:rPr>
          <w:lang w:val="fr-CA"/>
        </w:rPr>
        <w:t>UV</w:t>
      </w:r>
      <w:r w:rsidR="00065644" w:rsidRPr="00876C8D">
        <w:rPr>
          <w:lang w:val="fr-CA"/>
        </w:rPr>
        <w:t xml:space="preserve"> —</w:t>
      </w:r>
      <w:r w:rsidRPr="00876C8D">
        <w:rPr>
          <w:lang w:val="fr-CA"/>
        </w:rPr>
        <w:t xml:space="preserve"> Ultraviolet</w:t>
      </w:r>
    </w:p>
    <w:p w14:paraId="44261433" w14:textId="4D5E6ECD" w:rsidR="00163F80" w:rsidRPr="00877353" w:rsidRDefault="00163F80" w:rsidP="00163F80">
      <w:pPr>
        <w:rPr>
          <w:lang w:val="fr-CA"/>
        </w:rPr>
      </w:pPr>
      <w:r>
        <w:rPr>
          <w:lang w:val="fr-CA"/>
        </w:rPr>
        <w:t>V</w:t>
      </w:r>
      <w:r w:rsidR="004458B6">
        <w:rPr>
          <w:lang w:val="fr-CA"/>
        </w:rPr>
        <w:t>RL</w:t>
      </w:r>
      <w:r w:rsidRPr="00877353">
        <w:rPr>
          <w:lang w:val="fr-CA"/>
        </w:rPr>
        <w:t xml:space="preserve"> — Valeur de réflectance </w:t>
      </w:r>
      <w:r>
        <w:rPr>
          <w:rFonts w:cs="Arial"/>
          <w:lang w:val="fr-CA"/>
        </w:rPr>
        <w:t>à</w:t>
      </w:r>
      <w:r>
        <w:rPr>
          <w:lang w:val="fr-CA"/>
        </w:rPr>
        <w:t xml:space="preserve"> la </w:t>
      </w:r>
      <w:r w:rsidRPr="00877353">
        <w:rPr>
          <w:lang w:val="fr-CA"/>
        </w:rPr>
        <w:t>lumi</w:t>
      </w:r>
      <w:r>
        <w:rPr>
          <w:lang w:val="fr-CA"/>
        </w:rPr>
        <w:t>ère</w:t>
      </w:r>
    </w:p>
    <w:p w14:paraId="520E5854" w14:textId="439FA10C" w:rsidR="00701F4B" w:rsidRDefault="00701F4B">
      <w:pPr>
        <w:keepLines w:val="0"/>
        <w:spacing w:before="0" w:beforeAutospacing="0" w:line="259" w:lineRule="auto"/>
        <w:rPr>
          <w:lang w:val="fr-CA"/>
        </w:rPr>
      </w:pPr>
      <w:bookmarkStart w:id="555" w:name="_General_requirements_for"/>
      <w:bookmarkStart w:id="556" w:name="_Toc154490818"/>
      <w:bookmarkEnd w:id="555"/>
      <w:r>
        <w:rPr>
          <w:lang w:val="fr-CA"/>
        </w:rPr>
        <w:br w:type="page"/>
      </w:r>
    </w:p>
    <w:p w14:paraId="16DACC6B" w14:textId="13743E15" w:rsidR="00C77628" w:rsidRPr="0070243A" w:rsidRDefault="00D70CED" w:rsidP="004E755E">
      <w:pPr>
        <w:pStyle w:val="Heading1"/>
        <w:ind w:left="851" w:hanging="851"/>
        <w:rPr>
          <w:lang w:val="fr-CA"/>
        </w:rPr>
      </w:pPr>
      <w:bookmarkStart w:id="557" w:name="_Toc219706187"/>
      <w:r w:rsidRPr="0070243A">
        <w:rPr>
          <w:lang w:val="fr-CA"/>
        </w:rPr>
        <w:lastRenderedPageBreak/>
        <w:t>Exigences générales pour l</w:t>
      </w:r>
      <w:r w:rsidR="0025478E">
        <w:rPr>
          <w:lang w:val="fr-CA"/>
        </w:rPr>
        <w:t>’</w:t>
      </w:r>
      <w:r w:rsidRPr="0070243A">
        <w:rPr>
          <w:lang w:val="fr-CA"/>
        </w:rPr>
        <w:t>éclairage et le contraste</w:t>
      </w:r>
      <w:bookmarkEnd w:id="557"/>
    </w:p>
    <w:bookmarkEnd w:id="556"/>
    <w:p w14:paraId="6742B61B" w14:textId="1BAF7C2F" w:rsidR="0041403D" w:rsidRPr="0070243A" w:rsidRDefault="0026641D" w:rsidP="0041403D">
      <w:pPr>
        <w:rPr>
          <w:lang w:val="fr-CA"/>
        </w:rPr>
      </w:pPr>
      <w:r w:rsidRPr="0070243A">
        <w:rPr>
          <w:lang w:val="fr-CA"/>
        </w:rPr>
        <w:t>Cet article</w:t>
      </w:r>
      <w:r w:rsidR="0041403D" w:rsidRPr="0070243A">
        <w:rPr>
          <w:lang w:val="fr-CA"/>
        </w:rPr>
        <w:t xml:space="preserve"> énonce les exigences et recommandations qui s</w:t>
      </w:r>
      <w:r w:rsidR="0025478E">
        <w:rPr>
          <w:lang w:val="fr-CA"/>
        </w:rPr>
        <w:t>’</w:t>
      </w:r>
      <w:r w:rsidR="0041403D" w:rsidRPr="0070243A">
        <w:rPr>
          <w:lang w:val="fr-CA"/>
        </w:rPr>
        <w:t>appliquent à toute signalisation et orientation. Un bon éclairage et un bon contraste sont essentiels pour s</w:t>
      </w:r>
      <w:r w:rsidR="0025478E">
        <w:rPr>
          <w:lang w:val="fr-CA"/>
        </w:rPr>
        <w:t>’</w:t>
      </w:r>
      <w:r w:rsidR="0041403D" w:rsidRPr="0070243A">
        <w:rPr>
          <w:lang w:val="fr-CA"/>
        </w:rPr>
        <w:t>assurer que l</w:t>
      </w:r>
      <w:r w:rsidR="0025478E">
        <w:rPr>
          <w:lang w:val="fr-CA"/>
        </w:rPr>
        <w:t>’</w:t>
      </w:r>
      <w:r w:rsidR="0041403D" w:rsidRPr="0070243A">
        <w:rPr>
          <w:lang w:val="fr-CA"/>
        </w:rPr>
        <w:t>information transmise est claire et disponible pour interpréter et traiter les informations visuelles.</w:t>
      </w:r>
    </w:p>
    <w:p w14:paraId="5C1EBB18" w14:textId="1E0A1B46" w:rsidR="000F3D84" w:rsidRPr="0070243A" w:rsidRDefault="0041403D" w:rsidP="003E71A7">
      <w:pPr>
        <w:spacing w:line="259" w:lineRule="auto"/>
        <w:rPr>
          <w:lang w:val="fr-CA"/>
        </w:rPr>
      </w:pPr>
      <w:r w:rsidRPr="0070243A">
        <w:rPr>
          <w:lang w:val="fr-CA"/>
        </w:rPr>
        <w:t xml:space="preserve">Les exigences de </w:t>
      </w:r>
      <w:r w:rsidR="0026641D" w:rsidRPr="0070243A">
        <w:rPr>
          <w:lang w:val="fr-CA"/>
        </w:rPr>
        <w:t>ce</w:t>
      </w:r>
      <w:r w:rsidR="0026641D">
        <w:rPr>
          <w:lang w:val="fr-CA"/>
        </w:rPr>
        <w:t>t</w:t>
      </w:r>
      <w:r w:rsidR="0026641D" w:rsidRPr="0070243A">
        <w:rPr>
          <w:lang w:val="fr-CA"/>
        </w:rPr>
        <w:t xml:space="preserve"> article</w:t>
      </w:r>
      <w:r w:rsidRPr="0070243A">
        <w:rPr>
          <w:lang w:val="fr-CA"/>
        </w:rPr>
        <w:t xml:space="preserve"> s</w:t>
      </w:r>
      <w:r w:rsidR="0025478E">
        <w:rPr>
          <w:lang w:val="fr-CA"/>
        </w:rPr>
        <w:t>’</w:t>
      </w:r>
      <w:r w:rsidRPr="0070243A">
        <w:rPr>
          <w:lang w:val="fr-CA"/>
        </w:rPr>
        <w:t>appliquent à tous les aspects de l</w:t>
      </w:r>
      <w:r w:rsidR="0025478E">
        <w:rPr>
          <w:lang w:val="fr-CA"/>
        </w:rPr>
        <w:t>’</w:t>
      </w:r>
      <w:r w:rsidRPr="0070243A">
        <w:rPr>
          <w:lang w:val="fr-CA"/>
        </w:rPr>
        <w:t>orientation et de la signalisation. L</w:t>
      </w:r>
      <w:r w:rsidR="0025478E">
        <w:rPr>
          <w:lang w:val="fr-CA"/>
        </w:rPr>
        <w:t>’</w:t>
      </w:r>
      <w:r w:rsidRPr="0070243A">
        <w:rPr>
          <w:lang w:val="fr-CA"/>
        </w:rPr>
        <w:t>éclairage et l</w:t>
      </w:r>
      <w:r w:rsidR="0025478E">
        <w:rPr>
          <w:lang w:val="fr-CA"/>
        </w:rPr>
        <w:t>’</w:t>
      </w:r>
      <w:r w:rsidRPr="0070243A">
        <w:rPr>
          <w:lang w:val="fr-CA"/>
        </w:rPr>
        <w:t>utilisation de matériaux contrastants de couleurs sont essentiels à l</w:t>
      </w:r>
      <w:r w:rsidR="0025478E">
        <w:rPr>
          <w:lang w:val="fr-CA"/>
        </w:rPr>
        <w:t>’</w:t>
      </w:r>
      <w:r w:rsidRPr="0070243A">
        <w:rPr>
          <w:lang w:val="fr-CA"/>
        </w:rPr>
        <w:t xml:space="preserve">interprétation et à la compréhension de la signalisation et </w:t>
      </w:r>
      <w:r w:rsidR="0026641D">
        <w:rPr>
          <w:lang w:val="fr-CA"/>
        </w:rPr>
        <w:t>orientation</w:t>
      </w:r>
      <w:r w:rsidRPr="0070243A">
        <w:rPr>
          <w:lang w:val="fr-CA"/>
        </w:rPr>
        <w:t>.</w:t>
      </w:r>
    </w:p>
    <w:p w14:paraId="55FFA2C4" w14:textId="44553439" w:rsidR="000847C3" w:rsidRDefault="000F3D84" w:rsidP="000F3D84">
      <w:pPr>
        <w:pStyle w:val="Heading2"/>
      </w:pPr>
      <w:bookmarkStart w:id="558" w:name="_Lighting"/>
      <w:bookmarkStart w:id="559" w:name="_Toc219706188"/>
      <w:bookmarkEnd w:id="558"/>
      <w:proofErr w:type="spellStart"/>
      <w:r>
        <w:t>Éclairage</w:t>
      </w:r>
      <w:bookmarkEnd w:id="559"/>
      <w:proofErr w:type="spellEnd"/>
    </w:p>
    <w:p w14:paraId="3DFBAB6E" w14:textId="56A114AB" w:rsidR="006521BA" w:rsidRPr="000F2988" w:rsidRDefault="006521BA" w:rsidP="006521BA">
      <w:pPr>
        <w:rPr>
          <w:lang w:val="fr-CA"/>
        </w:rPr>
      </w:pPr>
      <w:r w:rsidRPr="000F2988">
        <w:rPr>
          <w:lang w:val="fr-CA"/>
        </w:rPr>
        <w:t>Un bon éclairage est important principalement pour la sécurité et les communications. Il n</w:t>
      </w:r>
      <w:r w:rsidR="0025478E">
        <w:rPr>
          <w:lang w:val="fr-CA"/>
        </w:rPr>
        <w:t>’</w:t>
      </w:r>
      <w:r w:rsidRPr="000F2988">
        <w:rPr>
          <w:lang w:val="fr-CA"/>
        </w:rPr>
        <w:t>existe pas de lignes directrices standard qui répondent aux besoins de chacun.</w:t>
      </w:r>
    </w:p>
    <w:p w14:paraId="7AEC728D" w14:textId="30EA85A1" w:rsidR="006521BA" w:rsidRPr="00877353" w:rsidRDefault="006521BA" w:rsidP="006521BA">
      <w:pPr>
        <w:rPr>
          <w:lang w:val="fr-CA"/>
        </w:rPr>
      </w:pPr>
      <w:r w:rsidRPr="00877353">
        <w:rPr>
          <w:lang w:val="fr-CA"/>
        </w:rPr>
        <w:t>En vieillissant, les yeux ont besoin de plus de lumière pour fonctionner efficacement. Un problème oculaire peut aussi affecter les besoins d</w:t>
      </w:r>
      <w:r w:rsidR="0025478E">
        <w:rPr>
          <w:lang w:val="fr-CA"/>
        </w:rPr>
        <w:t>’</w:t>
      </w:r>
      <w:r w:rsidRPr="00877353">
        <w:rPr>
          <w:lang w:val="fr-CA"/>
        </w:rPr>
        <w:t>éclairage d</w:t>
      </w:r>
      <w:r w:rsidR="0025478E">
        <w:rPr>
          <w:lang w:val="fr-CA"/>
        </w:rPr>
        <w:t>’</w:t>
      </w:r>
      <w:r w:rsidRPr="00877353">
        <w:rPr>
          <w:lang w:val="fr-CA"/>
        </w:rPr>
        <w:t xml:space="preserve">une personne. Le même niveau de lumière peut convenir à une personne voyante, </w:t>
      </w:r>
      <w:r w:rsidR="00B86906">
        <w:rPr>
          <w:lang w:val="fr-CA"/>
        </w:rPr>
        <w:t xml:space="preserve">être </w:t>
      </w:r>
      <w:r w:rsidRPr="00877353">
        <w:rPr>
          <w:lang w:val="fr-CA"/>
        </w:rPr>
        <w:t>excessif pour quelqu</w:t>
      </w:r>
      <w:r w:rsidR="0025478E">
        <w:rPr>
          <w:lang w:val="fr-CA"/>
        </w:rPr>
        <w:t>’</w:t>
      </w:r>
      <w:r w:rsidRPr="00877353">
        <w:rPr>
          <w:lang w:val="fr-CA"/>
        </w:rPr>
        <w:t>un atteint de glaucome et trop faible pour quelqu</w:t>
      </w:r>
      <w:r w:rsidR="0025478E">
        <w:rPr>
          <w:lang w:val="fr-CA"/>
        </w:rPr>
        <w:t>’</w:t>
      </w:r>
      <w:r w:rsidRPr="00877353">
        <w:rPr>
          <w:lang w:val="fr-CA"/>
        </w:rPr>
        <w:t>un avec une dégénérescence maculaire.</w:t>
      </w:r>
    </w:p>
    <w:p w14:paraId="5BF37206" w14:textId="5CEC28D7" w:rsidR="006521BA" w:rsidRPr="000F2988" w:rsidRDefault="006521BA" w:rsidP="006521BA">
      <w:pPr>
        <w:rPr>
          <w:lang w:val="fr-CA"/>
        </w:rPr>
      </w:pPr>
      <w:r w:rsidRPr="000F2988">
        <w:rPr>
          <w:lang w:val="fr-CA"/>
        </w:rPr>
        <w:t>En plus d</w:t>
      </w:r>
      <w:r w:rsidR="0025478E">
        <w:rPr>
          <w:lang w:val="fr-CA"/>
        </w:rPr>
        <w:t>’</w:t>
      </w:r>
      <w:r w:rsidRPr="000F2988">
        <w:rPr>
          <w:lang w:val="fr-CA"/>
        </w:rPr>
        <w:t>offrir une clarté visuelle, l</w:t>
      </w:r>
      <w:r w:rsidR="0025478E">
        <w:rPr>
          <w:lang w:val="fr-CA"/>
        </w:rPr>
        <w:t>’</w:t>
      </w:r>
      <w:r w:rsidRPr="000F2988">
        <w:rPr>
          <w:lang w:val="fr-CA"/>
        </w:rPr>
        <w:t xml:space="preserve">éclairage est utile pour </w:t>
      </w:r>
      <w:r w:rsidR="00FB45F2">
        <w:rPr>
          <w:lang w:val="fr-CA"/>
        </w:rPr>
        <w:t>accentuer</w:t>
      </w:r>
      <w:r w:rsidRPr="000F2988">
        <w:rPr>
          <w:lang w:val="fr-CA"/>
        </w:rPr>
        <w:t xml:space="preserve"> des éléments importants de l</w:t>
      </w:r>
      <w:r w:rsidR="0025478E">
        <w:rPr>
          <w:lang w:val="fr-CA"/>
        </w:rPr>
        <w:t>’</w:t>
      </w:r>
      <w:r w:rsidRPr="000F2988">
        <w:rPr>
          <w:lang w:val="fr-CA"/>
        </w:rPr>
        <w:t>environnement. L</w:t>
      </w:r>
      <w:r w:rsidR="0025478E">
        <w:rPr>
          <w:lang w:val="fr-CA"/>
        </w:rPr>
        <w:t>’</w:t>
      </w:r>
      <w:r w:rsidRPr="000F2988">
        <w:rPr>
          <w:lang w:val="fr-CA"/>
        </w:rPr>
        <w:t>éclairage facilite l</w:t>
      </w:r>
      <w:r w:rsidR="0025478E">
        <w:rPr>
          <w:lang w:val="fr-CA"/>
        </w:rPr>
        <w:t>’</w:t>
      </w:r>
      <w:r w:rsidRPr="000F2988">
        <w:rPr>
          <w:lang w:val="fr-CA"/>
        </w:rPr>
        <w:t>identification des éléments du bâtiment comme les entrées, les corridors, les obstacles/zones dangereuses, les escaliers et les changements d</w:t>
      </w:r>
      <w:r w:rsidR="0081360D">
        <w:rPr>
          <w:lang w:val="fr-CA"/>
        </w:rPr>
        <w:t>’</w:t>
      </w:r>
      <w:r w:rsidR="0081360D">
        <w:rPr>
          <w:rFonts w:cs="Arial"/>
          <w:lang w:val="fr-CA"/>
        </w:rPr>
        <w:t>é</w:t>
      </w:r>
      <w:r w:rsidR="0081360D">
        <w:rPr>
          <w:lang w:val="fr-CA"/>
        </w:rPr>
        <w:t>tage</w:t>
      </w:r>
      <w:r w:rsidRPr="000F2988">
        <w:rPr>
          <w:lang w:val="fr-CA"/>
        </w:rPr>
        <w:t>.</w:t>
      </w:r>
    </w:p>
    <w:p w14:paraId="256A321D" w14:textId="0F2AA7C7" w:rsidR="006521BA" w:rsidRPr="000F2988" w:rsidRDefault="006521BA" w:rsidP="006521BA">
      <w:pPr>
        <w:rPr>
          <w:lang w:val="fr-CA"/>
        </w:rPr>
      </w:pPr>
      <w:r w:rsidRPr="000F2988">
        <w:rPr>
          <w:lang w:val="fr-CA"/>
        </w:rPr>
        <w:t>Le niveau de lumière, la direction de l</w:t>
      </w:r>
      <w:r w:rsidR="0025478E">
        <w:rPr>
          <w:lang w:val="fr-CA"/>
        </w:rPr>
        <w:t>’</w:t>
      </w:r>
      <w:r w:rsidRPr="000F2988">
        <w:rPr>
          <w:lang w:val="fr-CA"/>
        </w:rPr>
        <w:t>éclairage et la décoration de fond sont des facteurs qui aident à clarifier les informations visuelles, comme la réduction de l</w:t>
      </w:r>
      <w:r w:rsidR="0025478E">
        <w:rPr>
          <w:lang w:val="fr-CA"/>
        </w:rPr>
        <w:t>’</w:t>
      </w:r>
      <w:r w:rsidRPr="000F2988">
        <w:rPr>
          <w:lang w:val="fr-CA"/>
        </w:rPr>
        <w:t>éblouissement.</w:t>
      </w:r>
    </w:p>
    <w:p w14:paraId="0F146F94" w14:textId="06D1DF72" w:rsidR="000F3D84" w:rsidRDefault="007E6EC1" w:rsidP="006A653B">
      <w:pPr>
        <w:pStyle w:val="Heading3"/>
      </w:pPr>
      <w:bookmarkStart w:id="560" w:name="_Toc219706189"/>
      <w:r>
        <w:lastRenderedPageBreak/>
        <w:t>Application</w:t>
      </w:r>
      <w:bookmarkEnd w:id="560"/>
    </w:p>
    <w:p w14:paraId="09D05D2C" w14:textId="196A1087" w:rsidR="00BA1828" w:rsidRPr="00E84D04" w:rsidRDefault="00BA1828" w:rsidP="00BA1828">
      <w:pPr>
        <w:rPr>
          <w:lang w:val="fr-CA"/>
        </w:rPr>
      </w:pPr>
      <w:r w:rsidRPr="00E84D04">
        <w:rPr>
          <w:lang w:val="fr-CA"/>
        </w:rPr>
        <w:t>Cet</w:t>
      </w:r>
      <w:r w:rsidR="00D0428F">
        <w:rPr>
          <w:lang w:val="fr-CA"/>
        </w:rPr>
        <w:t xml:space="preserve"> article</w:t>
      </w:r>
      <w:r w:rsidRPr="00E84D04">
        <w:rPr>
          <w:lang w:val="fr-CA"/>
        </w:rPr>
        <w:t xml:space="preserve"> s</w:t>
      </w:r>
      <w:r w:rsidR="0025478E">
        <w:rPr>
          <w:lang w:val="fr-CA"/>
        </w:rPr>
        <w:t>’</w:t>
      </w:r>
      <w:r w:rsidRPr="00E84D04">
        <w:rPr>
          <w:lang w:val="fr-CA"/>
        </w:rPr>
        <w:t>applique à l</w:t>
      </w:r>
      <w:r w:rsidR="001027BE">
        <w:rPr>
          <w:lang w:val="fr-CA"/>
        </w:rPr>
        <w:t>’</w:t>
      </w:r>
      <w:r w:rsidRPr="00E84D04">
        <w:rPr>
          <w:lang w:val="fr-CA"/>
        </w:rPr>
        <w:t>éclairage de tous les éléments d</w:t>
      </w:r>
      <w:r w:rsidR="001027BE">
        <w:rPr>
          <w:lang w:val="fr-CA"/>
        </w:rPr>
        <w:t>’</w:t>
      </w:r>
      <w:r w:rsidRPr="00E84D04">
        <w:rPr>
          <w:lang w:val="fr-CA"/>
        </w:rPr>
        <w:t>orientation (y compris la signalisation) à l</w:t>
      </w:r>
      <w:r w:rsidR="001027BE">
        <w:rPr>
          <w:lang w:val="fr-CA"/>
        </w:rPr>
        <w:t>’</w:t>
      </w:r>
      <w:r w:rsidRPr="00E84D04">
        <w:rPr>
          <w:lang w:val="fr-CA"/>
        </w:rPr>
        <w:t>intérieur de l</w:t>
      </w:r>
      <w:r w:rsidR="001027BE">
        <w:rPr>
          <w:lang w:val="fr-CA"/>
        </w:rPr>
        <w:t>’</w:t>
      </w:r>
      <w:r w:rsidRPr="00E84D04">
        <w:rPr>
          <w:lang w:val="fr-CA"/>
        </w:rPr>
        <w:t>environnement bâti et des espaces extérieurs applicables.</w:t>
      </w:r>
    </w:p>
    <w:p w14:paraId="0EC27401" w14:textId="0ED49FB6" w:rsidR="007E6EC1" w:rsidRPr="00561051" w:rsidRDefault="00284E53" w:rsidP="00BA1828">
      <w:pPr>
        <w:pStyle w:val="Heading3"/>
      </w:pPr>
      <w:bookmarkStart w:id="561" w:name="_Toc219706190"/>
      <w:r w:rsidRPr="00561051">
        <w:t xml:space="preserve">Conception </w:t>
      </w:r>
      <w:proofErr w:type="spellStart"/>
      <w:r w:rsidRPr="00561051">
        <w:t>générale</w:t>
      </w:r>
      <w:proofErr w:type="spellEnd"/>
      <w:r w:rsidRPr="00561051">
        <w:t xml:space="preserve"> de </w:t>
      </w:r>
      <w:proofErr w:type="spellStart"/>
      <w:r w:rsidRPr="00561051">
        <w:t>l</w:t>
      </w:r>
      <w:r w:rsidR="001027BE">
        <w:t>’</w:t>
      </w:r>
      <w:r w:rsidRPr="00561051">
        <w:t>éclairage</w:t>
      </w:r>
      <w:bookmarkEnd w:id="561"/>
      <w:proofErr w:type="spellEnd"/>
    </w:p>
    <w:p w14:paraId="67CC6382" w14:textId="45497A27" w:rsidR="00254EBC" w:rsidRPr="00A75CBD" w:rsidRDefault="00254EBC" w:rsidP="00254EBC">
      <w:pPr>
        <w:rPr>
          <w:lang w:val="fr-CA"/>
        </w:rPr>
      </w:pPr>
      <w:r w:rsidRPr="00A75CBD">
        <w:rPr>
          <w:lang w:val="fr-CA"/>
        </w:rPr>
        <w:t>La conception d</w:t>
      </w:r>
      <w:r w:rsidR="001027BE">
        <w:rPr>
          <w:lang w:val="fr-CA"/>
        </w:rPr>
        <w:t>’</w:t>
      </w:r>
      <w:r w:rsidRPr="00A75CBD">
        <w:rPr>
          <w:lang w:val="fr-CA"/>
        </w:rPr>
        <w:t>éclairage pour l</w:t>
      </w:r>
      <w:r w:rsidR="001027BE">
        <w:rPr>
          <w:lang w:val="fr-CA"/>
        </w:rPr>
        <w:t>’</w:t>
      </w:r>
      <w:r w:rsidRPr="00A75CBD">
        <w:rPr>
          <w:lang w:val="fr-CA"/>
        </w:rPr>
        <w:t>orientation et la signalisation doit</w:t>
      </w:r>
      <w:r w:rsidR="00BB3D95">
        <w:rPr>
          <w:lang w:val="fr-CA"/>
        </w:rPr>
        <w:t> </w:t>
      </w:r>
      <w:r w:rsidRPr="00A75CBD">
        <w:rPr>
          <w:lang w:val="fr-CA"/>
        </w:rPr>
        <w:t>:</w:t>
      </w:r>
    </w:p>
    <w:p w14:paraId="27125249" w14:textId="626E3940" w:rsidR="00254EBC" w:rsidRDefault="00346C57" w:rsidP="003F66F0">
      <w:pPr>
        <w:pStyle w:val="ListParagraph"/>
        <w:numPr>
          <w:ilvl w:val="0"/>
          <w:numId w:val="11"/>
        </w:numPr>
      </w:pPr>
      <w:proofErr w:type="spellStart"/>
      <w:r>
        <w:t>i</w:t>
      </w:r>
      <w:r w:rsidR="00254EBC">
        <w:t>ncorpore</w:t>
      </w:r>
      <w:r w:rsidR="00257DF4">
        <w:t>r</w:t>
      </w:r>
      <w:proofErr w:type="spellEnd"/>
      <w:r w:rsidR="00254EBC">
        <w:t xml:space="preserve"> les </w:t>
      </w:r>
      <w:proofErr w:type="spellStart"/>
      <w:r w:rsidR="00254EBC">
        <w:t>éléments</w:t>
      </w:r>
      <w:proofErr w:type="spellEnd"/>
      <w:r w:rsidR="00254EBC">
        <w:t xml:space="preserve"> </w:t>
      </w:r>
      <w:proofErr w:type="spellStart"/>
      <w:proofErr w:type="gramStart"/>
      <w:r w:rsidR="00254EBC">
        <w:t>suivants</w:t>
      </w:r>
      <w:proofErr w:type="spellEnd"/>
      <w:r w:rsidR="00BB3D95">
        <w:t> </w:t>
      </w:r>
      <w:r w:rsidR="00254EBC">
        <w:t>:</w:t>
      </w:r>
      <w:proofErr w:type="gramEnd"/>
    </w:p>
    <w:p w14:paraId="04EB8F1E" w14:textId="6C287989" w:rsidR="00254EBC" w:rsidRPr="00A75CBD" w:rsidRDefault="00254EBC" w:rsidP="003F66F0">
      <w:pPr>
        <w:pStyle w:val="ListParagraph"/>
        <w:numPr>
          <w:ilvl w:val="1"/>
          <w:numId w:val="11"/>
        </w:numPr>
        <w:rPr>
          <w:lang w:val="fr-CA"/>
        </w:rPr>
      </w:pPr>
      <w:proofErr w:type="gramStart"/>
      <w:r w:rsidRPr="00A75CBD">
        <w:rPr>
          <w:lang w:val="fr-CA"/>
        </w:rPr>
        <w:t>rendu</w:t>
      </w:r>
      <w:proofErr w:type="gramEnd"/>
      <w:r w:rsidRPr="00A75CBD">
        <w:rPr>
          <w:lang w:val="fr-CA"/>
        </w:rPr>
        <w:t xml:space="preserve"> des couleurs (minimum Ra &gt; 80);</w:t>
      </w:r>
    </w:p>
    <w:p w14:paraId="5BDE2825" w14:textId="46EC7D95" w:rsidR="00254EBC" w:rsidRPr="00A75CBD" w:rsidRDefault="00254EBC" w:rsidP="003F66F0">
      <w:pPr>
        <w:pStyle w:val="ListParagraph"/>
        <w:numPr>
          <w:ilvl w:val="1"/>
          <w:numId w:val="11"/>
        </w:numPr>
        <w:rPr>
          <w:lang w:val="fr-CA"/>
        </w:rPr>
      </w:pPr>
      <w:proofErr w:type="gramStart"/>
      <w:r w:rsidRPr="00A75CBD">
        <w:rPr>
          <w:lang w:val="fr-CA"/>
        </w:rPr>
        <w:t>température</w:t>
      </w:r>
      <w:proofErr w:type="gramEnd"/>
      <w:r w:rsidRPr="00A75CBD">
        <w:rPr>
          <w:lang w:val="fr-CA"/>
        </w:rPr>
        <w:t xml:space="preserve"> de couleur autour de 3000</w:t>
      </w:r>
      <w:r w:rsidR="003B2C52">
        <w:rPr>
          <w:lang w:val="fr-CA"/>
        </w:rPr>
        <w:t> </w:t>
      </w:r>
      <w:r w:rsidRPr="00A75CBD">
        <w:rPr>
          <w:lang w:val="fr-CA"/>
        </w:rPr>
        <w:t xml:space="preserve">K; </w:t>
      </w:r>
      <w:r w:rsidR="00B01E25">
        <w:rPr>
          <w:lang w:val="fr-CA"/>
        </w:rPr>
        <w:t>et</w:t>
      </w:r>
    </w:p>
    <w:p w14:paraId="74B700C2" w14:textId="5F838304" w:rsidR="00254EBC" w:rsidRPr="00A75CBD" w:rsidRDefault="00254EBC" w:rsidP="003F66F0">
      <w:pPr>
        <w:pStyle w:val="ListParagraph"/>
        <w:numPr>
          <w:ilvl w:val="1"/>
          <w:numId w:val="11"/>
        </w:numPr>
        <w:rPr>
          <w:lang w:val="fr-CA"/>
        </w:rPr>
      </w:pPr>
      <w:proofErr w:type="gramStart"/>
      <w:r w:rsidRPr="00A75CBD">
        <w:rPr>
          <w:lang w:val="fr-CA"/>
        </w:rPr>
        <w:t>indice</w:t>
      </w:r>
      <w:proofErr w:type="gramEnd"/>
      <w:r w:rsidRPr="00A75CBD">
        <w:rPr>
          <w:lang w:val="fr-CA"/>
        </w:rPr>
        <w:t xml:space="preserve"> de rendu des couleurs entre 60</w:t>
      </w:r>
      <w:r w:rsidR="003B2C52">
        <w:rPr>
          <w:lang w:val="fr-CA"/>
        </w:rPr>
        <w:t> </w:t>
      </w:r>
      <w:r w:rsidRPr="00A75CBD">
        <w:rPr>
          <w:lang w:val="fr-CA"/>
        </w:rPr>
        <w:t>CRI et 70</w:t>
      </w:r>
      <w:r w:rsidR="003B2C52">
        <w:rPr>
          <w:lang w:val="fr-CA"/>
        </w:rPr>
        <w:t> </w:t>
      </w:r>
      <w:r w:rsidRPr="00A75CBD">
        <w:rPr>
          <w:lang w:val="fr-CA"/>
        </w:rPr>
        <w:t>CRI; et</w:t>
      </w:r>
    </w:p>
    <w:p w14:paraId="2BA51334" w14:textId="7A8844E4" w:rsidR="00254EBC" w:rsidRPr="0062197F" w:rsidRDefault="00F67AE8" w:rsidP="003F66F0">
      <w:pPr>
        <w:pStyle w:val="ListParagraph"/>
        <w:numPr>
          <w:ilvl w:val="0"/>
          <w:numId w:val="11"/>
        </w:numPr>
      </w:pPr>
      <w:proofErr w:type="spellStart"/>
      <w:r>
        <w:t>c</w:t>
      </w:r>
      <w:r w:rsidR="00254EBC">
        <w:t>onsidére</w:t>
      </w:r>
      <w:r>
        <w:t>r</w:t>
      </w:r>
      <w:proofErr w:type="spellEnd"/>
      <w:r w:rsidR="00254EBC">
        <w:t xml:space="preserve"> </w:t>
      </w:r>
      <w:proofErr w:type="spellStart"/>
      <w:r w:rsidR="00254EBC">
        <w:t>ce</w:t>
      </w:r>
      <w:proofErr w:type="spellEnd"/>
      <w:r w:rsidR="00254EBC">
        <w:t xml:space="preserve"> qui </w:t>
      </w:r>
      <w:proofErr w:type="gramStart"/>
      <w:r w:rsidR="00254EBC">
        <w:t>suit</w:t>
      </w:r>
      <w:r w:rsidR="00BB3D95">
        <w:t> </w:t>
      </w:r>
      <w:r w:rsidR="00254EBC">
        <w:t>:</w:t>
      </w:r>
      <w:proofErr w:type="gramEnd"/>
    </w:p>
    <w:p w14:paraId="76DE8E20" w14:textId="2012CA8F" w:rsidR="00254EBC" w:rsidRPr="00CF4A5C" w:rsidRDefault="00254EBC" w:rsidP="003F66F0">
      <w:pPr>
        <w:pStyle w:val="ListParagraph"/>
        <w:numPr>
          <w:ilvl w:val="1"/>
          <w:numId w:val="11"/>
        </w:numPr>
        <w:rPr>
          <w:lang w:val="fr-CA"/>
        </w:rPr>
      </w:pPr>
      <w:proofErr w:type="gramStart"/>
      <w:r w:rsidRPr="00CF4A5C">
        <w:rPr>
          <w:lang w:val="fr-CA"/>
        </w:rPr>
        <w:t>le</w:t>
      </w:r>
      <w:proofErr w:type="gramEnd"/>
      <w:r w:rsidRPr="00CF4A5C">
        <w:rPr>
          <w:lang w:val="fr-CA"/>
        </w:rPr>
        <w:t xml:space="preserve"> niveau d</w:t>
      </w:r>
      <w:r w:rsidR="001027BE">
        <w:rPr>
          <w:lang w:val="fr-CA"/>
        </w:rPr>
        <w:t>’</w:t>
      </w:r>
      <w:r w:rsidRPr="00CF4A5C">
        <w:rPr>
          <w:lang w:val="fr-CA"/>
        </w:rPr>
        <w:t>illumination des surfaces verticales et horizontales;</w:t>
      </w:r>
    </w:p>
    <w:p w14:paraId="52FF5277" w14:textId="4B1DC057" w:rsidR="00254EBC" w:rsidRPr="00CF4A5C" w:rsidRDefault="00B05CBD" w:rsidP="003F66F0">
      <w:pPr>
        <w:pStyle w:val="ListParagraph"/>
        <w:numPr>
          <w:ilvl w:val="1"/>
          <w:numId w:val="11"/>
        </w:numPr>
        <w:rPr>
          <w:lang w:val="fr-CA"/>
        </w:rPr>
      </w:pPr>
      <w:proofErr w:type="gramStart"/>
      <w:r>
        <w:rPr>
          <w:lang w:val="fr-CA"/>
        </w:rPr>
        <w:t>la</w:t>
      </w:r>
      <w:proofErr w:type="gramEnd"/>
      <w:r>
        <w:rPr>
          <w:lang w:val="fr-CA"/>
        </w:rPr>
        <w:t xml:space="preserve"> </w:t>
      </w:r>
      <w:r w:rsidR="00254EBC" w:rsidRPr="00CF4A5C">
        <w:rPr>
          <w:lang w:val="fr-CA"/>
        </w:rPr>
        <w:t>réduction de l</w:t>
      </w:r>
      <w:r w:rsidR="001027BE">
        <w:rPr>
          <w:lang w:val="fr-CA"/>
        </w:rPr>
        <w:t>’</w:t>
      </w:r>
      <w:r w:rsidR="00254EBC" w:rsidRPr="00CF4A5C">
        <w:rPr>
          <w:lang w:val="fr-CA"/>
        </w:rPr>
        <w:t>éblouissement causé par des sources de lumière directe ou des surfaces réfléchissantes;</w:t>
      </w:r>
    </w:p>
    <w:p w14:paraId="339A16C2" w14:textId="1C353E1B" w:rsidR="00916EEE" w:rsidRDefault="00254EBC" w:rsidP="003F66F0">
      <w:pPr>
        <w:pStyle w:val="ListParagraph"/>
        <w:numPr>
          <w:ilvl w:val="1"/>
          <w:numId w:val="11"/>
        </w:numPr>
        <w:rPr>
          <w:lang w:val="fr-CA"/>
        </w:rPr>
      </w:pPr>
      <w:proofErr w:type="gramStart"/>
      <w:r w:rsidRPr="00CF4A5C">
        <w:rPr>
          <w:lang w:val="fr-CA"/>
        </w:rPr>
        <w:t>la</w:t>
      </w:r>
      <w:proofErr w:type="gramEnd"/>
      <w:r w:rsidRPr="00CF4A5C">
        <w:rPr>
          <w:lang w:val="fr-CA"/>
        </w:rPr>
        <w:t xml:space="preserve"> constance et la dispersion de la luminance; et</w:t>
      </w:r>
    </w:p>
    <w:p w14:paraId="3C7DD39B" w14:textId="43287E7D" w:rsidR="00284E53" w:rsidRPr="00CF4A5C" w:rsidRDefault="00254EBC" w:rsidP="003F66F0">
      <w:pPr>
        <w:pStyle w:val="ListParagraph"/>
        <w:numPr>
          <w:ilvl w:val="1"/>
          <w:numId w:val="11"/>
        </w:numPr>
        <w:rPr>
          <w:lang w:val="fr-CA"/>
        </w:rPr>
      </w:pPr>
      <w:proofErr w:type="gramStart"/>
      <w:r w:rsidRPr="00CF4A5C">
        <w:rPr>
          <w:lang w:val="fr-CA"/>
        </w:rPr>
        <w:t>l</w:t>
      </w:r>
      <w:r w:rsidR="001027BE">
        <w:rPr>
          <w:lang w:val="fr-CA"/>
        </w:rPr>
        <w:t>’</w:t>
      </w:r>
      <w:r w:rsidRPr="00CF4A5C">
        <w:rPr>
          <w:lang w:val="fr-CA"/>
        </w:rPr>
        <w:t>orientation</w:t>
      </w:r>
      <w:proofErr w:type="gramEnd"/>
      <w:r w:rsidRPr="00CF4A5C">
        <w:rPr>
          <w:lang w:val="fr-CA"/>
        </w:rPr>
        <w:t xml:space="preserve"> du contrôle de la lumière et de l</w:t>
      </w:r>
      <w:r w:rsidR="001027BE">
        <w:rPr>
          <w:lang w:val="fr-CA"/>
        </w:rPr>
        <w:t>’</w:t>
      </w:r>
      <w:r w:rsidRPr="00CF4A5C">
        <w:rPr>
          <w:lang w:val="fr-CA"/>
        </w:rPr>
        <w:t>ombre.</w:t>
      </w:r>
    </w:p>
    <w:p w14:paraId="5240DDFF" w14:textId="451D1357" w:rsidR="002E4530" w:rsidRPr="00843E11" w:rsidRDefault="002E4530" w:rsidP="002E4530">
      <w:pPr>
        <w:pStyle w:val="Heading4"/>
        <w:rPr>
          <w:lang w:val="fr-CA"/>
        </w:rPr>
      </w:pPr>
      <w:r w:rsidRPr="00843E11">
        <w:rPr>
          <w:lang w:val="fr-CA"/>
        </w:rPr>
        <w:t>Considérations de base sur l</w:t>
      </w:r>
      <w:r w:rsidR="001027BE" w:rsidRPr="00843E11">
        <w:rPr>
          <w:lang w:val="fr-CA"/>
        </w:rPr>
        <w:t>’</w:t>
      </w:r>
      <w:r w:rsidRPr="00843E11">
        <w:rPr>
          <w:lang w:val="fr-CA"/>
        </w:rPr>
        <w:t>éclairage</w:t>
      </w:r>
    </w:p>
    <w:p w14:paraId="65225696" w14:textId="3B30F74B" w:rsidR="00AA71C8" w:rsidRPr="0062197F" w:rsidRDefault="00AA71C8" w:rsidP="00AA71C8">
      <w:r w:rsidRPr="0062197F">
        <w:t xml:space="preserve">La conception </w:t>
      </w:r>
      <w:proofErr w:type="spellStart"/>
      <w:r w:rsidRPr="0062197F">
        <w:t>d</w:t>
      </w:r>
      <w:r w:rsidR="001027BE">
        <w:t>’</w:t>
      </w:r>
      <w:r w:rsidRPr="0062197F">
        <w:t>éclairage</w:t>
      </w:r>
      <w:proofErr w:type="spellEnd"/>
      <w:r w:rsidRPr="0062197F">
        <w:t xml:space="preserve"> </w:t>
      </w:r>
      <w:proofErr w:type="gramStart"/>
      <w:r w:rsidRPr="0062197F">
        <w:t>doit</w:t>
      </w:r>
      <w:r w:rsidR="00BB3D95">
        <w:t> </w:t>
      </w:r>
      <w:r w:rsidRPr="0062197F">
        <w:t>:</w:t>
      </w:r>
      <w:proofErr w:type="gramEnd"/>
    </w:p>
    <w:p w14:paraId="71609660" w14:textId="6044A9F2" w:rsidR="00AA71C8" w:rsidRPr="00F54289" w:rsidRDefault="006A1169" w:rsidP="003F66F0">
      <w:pPr>
        <w:pStyle w:val="ListParagraph"/>
        <w:numPr>
          <w:ilvl w:val="0"/>
          <w:numId w:val="13"/>
        </w:numPr>
        <w:rPr>
          <w:lang w:val="fr-CA"/>
        </w:rPr>
      </w:pPr>
      <w:proofErr w:type="gramStart"/>
      <w:r>
        <w:rPr>
          <w:lang w:val="fr-CA"/>
        </w:rPr>
        <w:t>assurer</w:t>
      </w:r>
      <w:proofErr w:type="gramEnd"/>
      <w:r w:rsidR="00AA71C8" w:rsidRPr="00F54289">
        <w:rPr>
          <w:lang w:val="fr-CA"/>
        </w:rPr>
        <w:t xml:space="preserve"> </w:t>
      </w:r>
      <w:r w:rsidR="00F750FF">
        <w:rPr>
          <w:lang w:val="fr-CA"/>
        </w:rPr>
        <w:t xml:space="preserve">un </w:t>
      </w:r>
      <w:r w:rsidR="000E4D71">
        <w:rPr>
          <w:lang w:val="fr-CA"/>
        </w:rPr>
        <w:t>éclairage</w:t>
      </w:r>
      <w:r w:rsidR="00F750FF">
        <w:rPr>
          <w:lang w:val="fr-CA"/>
        </w:rPr>
        <w:t xml:space="preserve"> d</w:t>
      </w:r>
      <w:r w:rsidR="000E4D71">
        <w:rPr>
          <w:lang w:val="fr-CA"/>
        </w:rPr>
        <w:t>’au moins 100</w:t>
      </w:r>
      <w:r w:rsidR="00FA4FCB">
        <w:rPr>
          <w:lang w:val="fr-CA"/>
        </w:rPr>
        <w:t> </w:t>
      </w:r>
      <w:r w:rsidR="000E4D71">
        <w:rPr>
          <w:lang w:val="fr-CA"/>
        </w:rPr>
        <w:t xml:space="preserve">lx dans </w:t>
      </w:r>
      <w:r w:rsidR="00AA71C8" w:rsidRPr="00F54289">
        <w:rPr>
          <w:lang w:val="fr-CA"/>
        </w:rPr>
        <w:t>les espaces intérieurs;</w:t>
      </w:r>
    </w:p>
    <w:p w14:paraId="2175D192" w14:textId="7EDED601" w:rsidR="00AA71C8" w:rsidRPr="00F54289" w:rsidRDefault="002E78CA" w:rsidP="003F66F0">
      <w:pPr>
        <w:pStyle w:val="ListParagraph"/>
        <w:numPr>
          <w:ilvl w:val="0"/>
          <w:numId w:val="13"/>
        </w:numPr>
        <w:rPr>
          <w:lang w:val="fr-CA"/>
        </w:rPr>
      </w:pPr>
      <w:proofErr w:type="gramStart"/>
      <w:r w:rsidRPr="00F54289">
        <w:rPr>
          <w:lang w:val="fr-CA"/>
        </w:rPr>
        <w:t>assurer</w:t>
      </w:r>
      <w:proofErr w:type="gramEnd"/>
      <w:r w:rsidRPr="00F54289">
        <w:rPr>
          <w:lang w:val="fr-CA"/>
        </w:rPr>
        <w:t xml:space="preserve"> que les espaces extérieurs sont éclairés conformément à l</w:t>
      </w:r>
      <w:r w:rsidR="00C47552">
        <w:rPr>
          <w:lang w:val="fr-CA"/>
        </w:rPr>
        <w:t>’article</w:t>
      </w:r>
      <w:r w:rsidR="003C1DE5">
        <w:rPr>
          <w:lang w:val="fr-CA"/>
        </w:rPr>
        <w:t> </w:t>
      </w:r>
      <w:r w:rsidR="00D023D4">
        <w:fldChar w:fldCharType="begin"/>
      </w:r>
      <w:r w:rsidR="00D023D4" w:rsidRPr="007C0FBA">
        <w:rPr>
          <w:lang w:val="fr-CA"/>
        </w:rPr>
        <w:instrText>HYPERLINK \l "_Exterior_lighting"</w:instrText>
      </w:r>
      <w:r w:rsidR="00D023D4">
        <w:fldChar w:fldCharType="separate"/>
      </w:r>
      <w:r w:rsidR="00D023D4">
        <w:rPr>
          <w:rStyle w:val="Hyperlink"/>
          <w:lang w:val="fr-CA"/>
        </w:rPr>
        <w:t>10</w:t>
      </w:r>
      <w:r w:rsidR="001A5A38" w:rsidRPr="00F54289">
        <w:rPr>
          <w:rStyle w:val="Hyperlink"/>
          <w:lang w:val="fr-CA"/>
        </w:rPr>
        <w:t>.1.5</w:t>
      </w:r>
      <w:r w:rsidR="00D023D4">
        <w:fldChar w:fldCharType="end"/>
      </w:r>
      <w:r w:rsidR="00AA71C8" w:rsidRPr="00F54289">
        <w:rPr>
          <w:lang w:val="fr-CA"/>
        </w:rPr>
        <w:t>;</w:t>
      </w:r>
    </w:p>
    <w:p w14:paraId="3FF588B5" w14:textId="53590717" w:rsidR="00AA71C8" w:rsidRPr="00F54289" w:rsidRDefault="00AA71C8" w:rsidP="003F66F0">
      <w:pPr>
        <w:pStyle w:val="ListParagraph"/>
        <w:numPr>
          <w:ilvl w:val="0"/>
          <w:numId w:val="13"/>
        </w:numPr>
        <w:rPr>
          <w:lang w:val="fr-CA"/>
        </w:rPr>
      </w:pPr>
      <w:proofErr w:type="gramStart"/>
      <w:r w:rsidRPr="00F54289">
        <w:rPr>
          <w:lang w:val="fr-CA"/>
        </w:rPr>
        <w:lastRenderedPageBreak/>
        <w:t>pour</w:t>
      </w:r>
      <w:proofErr w:type="gramEnd"/>
      <w:r w:rsidRPr="00F54289">
        <w:rPr>
          <w:lang w:val="fr-CA"/>
        </w:rPr>
        <w:t xml:space="preserve"> les espaces intérieurs, être intégré </w:t>
      </w:r>
      <w:r w:rsidR="00961841">
        <w:rPr>
          <w:rFonts w:cs="Arial"/>
          <w:lang w:val="fr-CA"/>
        </w:rPr>
        <w:t>à</w:t>
      </w:r>
      <w:r w:rsidR="00961841">
        <w:rPr>
          <w:lang w:val="fr-CA"/>
        </w:rPr>
        <w:t xml:space="preserve"> la main courante</w:t>
      </w:r>
      <w:r w:rsidRPr="00F54289">
        <w:rPr>
          <w:lang w:val="fr-CA"/>
        </w:rPr>
        <w:t xml:space="preserve"> seulement lorsque des sources d</w:t>
      </w:r>
      <w:r w:rsidR="001027BE">
        <w:rPr>
          <w:lang w:val="fr-CA"/>
        </w:rPr>
        <w:t>’</w:t>
      </w:r>
      <w:r w:rsidRPr="00F54289">
        <w:rPr>
          <w:lang w:val="fr-CA"/>
        </w:rPr>
        <w:t>éclairage au plafond ne peuvent pas être installées; et</w:t>
      </w:r>
    </w:p>
    <w:p w14:paraId="498A6A36" w14:textId="78DB266C" w:rsidR="00AA71C8" w:rsidRPr="00F54289" w:rsidRDefault="00DD05D3" w:rsidP="003F66F0">
      <w:pPr>
        <w:pStyle w:val="ListParagraph"/>
        <w:numPr>
          <w:ilvl w:val="0"/>
          <w:numId w:val="13"/>
        </w:numPr>
        <w:rPr>
          <w:lang w:val="fr-CA"/>
        </w:rPr>
      </w:pPr>
      <w:proofErr w:type="gramStart"/>
      <w:r>
        <w:rPr>
          <w:lang w:val="fr-CA"/>
        </w:rPr>
        <w:t>intégrer</w:t>
      </w:r>
      <w:proofErr w:type="gramEnd"/>
      <w:r w:rsidR="00AA71C8" w:rsidRPr="00F54289">
        <w:rPr>
          <w:lang w:val="fr-CA"/>
        </w:rPr>
        <w:t xml:space="preserve"> un éclairage supplémentaire, avec seulement des composantes </w:t>
      </w:r>
      <w:r w:rsidR="00CA3B4F">
        <w:rPr>
          <w:lang w:val="fr-CA"/>
        </w:rPr>
        <w:t>orient</w:t>
      </w:r>
      <w:r w:rsidR="00C93D9A">
        <w:rPr>
          <w:rFonts w:cs="Arial"/>
          <w:lang w:val="fr-CA"/>
        </w:rPr>
        <w:t>é</w:t>
      </w:r>
      <w:r w:rsidR="00911EAD">
        <w:rPr>
          <w:rFonts w:cs="Arial"/>
          <w:lang w:val="fr-CA"/>
        </w:rPr>
        <w:t>e</w:t>
      </w:r>
      <w:r w:rsidR="00CA3B4F">
        <w:rPr>
          <w:lang w:val="fr-CA"/>
        </w:rPr>
        <w:t>s</w:t>
      </w:r>
      <w:r w:rsidR="00C93D9A">
        <w:rPr>
          <w:lang w:val="fr-CA"/>
        </w:rPr>
        <w:t xml:space="preserve"> uniquement vers</w:t>
      </w:r>
      <w:r w:rsidR="00AA71C8" w:rsidRPr="00F54289">
        <w:rPr>
          <w:lang w:val="fr-CA"/>
        </w:rPr>
        <w:t xml:space="preserve"> le haut ou vers le bas, </w:t>
      </w:r>
      <w:r w:rsidR="00C93D9A">
        <w:rPr>
          <w:lang w:val="fr-CA"/>
        </w:rPr>
        <w:t>afin d’</w:t>
      </w:r>
      <w:r w:rsidR="00AA71C8" w:rsidRPr="00F54289">
        <w:rPr>
          <w:lang w:val="fr-CA"/>
        </w:rPr>
        <w:t>améliorer</w:t>
      </w:r>
      <w:r w:rsidR="00BB3D95">
        <w:rPr>
          <w:lang w:val="fr-CA"/>
        </w:rPr>
        <w:t> </w:t>
      </w:r>
      <w:r w:rsidR="00AA71C8" w:rsidRPr="00F54289">
        <w:rPr>
          <w:lang w:val="fr-CA"/>
        </w:rPr>
        <w:t>:</w:t>
      </w:r>
    </w:p>
    <w:p w14:paraId="5E196704" w14:textId="3E6235F5" w:rsidR="00AA71C8" w:rsidRPr="00F54289" w:rsidRDefault="009922AF" w:rsidP="003F66F0">
      <w:pPr>
        <w:pStyle w:val="ListRef"/>
        <w:numPr>
          <w:ilvl w:val="1"/>
          <w:numId w:val="13"/>
        </w:numPr>
        <w:rPr>
          <w:lang w:val="fr-CA"/>
        </w:rPr>
      </w:pPr>
      <w:proofErr w:type="gramStart"/>
      <w:r>
        <w:rPr>
          <w:lang w:val="fr-CA"/>
        </w:rPr>
        <w:t>les</w:t>
      </w:r>
      <w:proofErr w:type="gramEnd"/>
      <w:r>
        <w:rPr>
          <w:lang w:val="fr-CA"/>
        </w:rPr>
        <w:t xml:space="preserve"> c</w:t>
      </w:r>
      <w:r w:rsidR="00AA71C8" w:rsidRPr="00F54289">
        <w:rPr>
          <w:lang w:val="fr-CA"/>
        </w:rPr>
        <w:t xml:space="preserve">aractéristiques spéciales et </w:t>
      </w:r>
      <w:r w:rsidR="003345A5">
        <w:rPr>
          <w:lang w:val="fr-CA"/>
        </w:rPr>
        <w:t xml:space="preserve">les </w:t>
      </w:r>
      <w:r w:rsidR="00AA71C8" w:rsidRPr="00F54289">
        <w:rPr>
          <w:lang w:val="fr-CA"/>
        </w:rPr>
        <w:t>éléments clés d</w:t>
      </w:r>
      <w:r w:rsidR="001027BE">
        <w:rPr>
          <w:lang w:val="fr-CA"/>
        </w:rPr>
        <w:t>’</w:t>
      </w:r>
      <w:r w:rsidR="00AA71C8" w:rsidRPr="00F54289">
        <w:rPr>
          <w:lang w:val="fr-CA"/>
        </w:rPr>
        <w:t>orientation;</w:t>
      </w:r>
    </w:p>
    <w:p w14:paraId="0F91F6A6" w14:textId="20FF7F42" w:rsidR="00AA71C8" w:rsidRPr="00F54289" w:rsidRDefault="00EF4BCC" w:rsidP="003F66F0">
      <w:pPr>
        <w:pStyle w:val="ListRef"/>
        <w:numPr>
          <w:ilvl w:val="1"/>
          <w:numId w:val="13"/>
        </w:numPr>
        <w:rPr>
          <w:lang w:val="fr-CA"/>
        </w:rPr>
      </w:pPr>
      <w:proofErr w:type="gramStart"/>
      <w:r>
        <w:rPr>
          <w:lang w:val="fr-CA"/>
        </w:rPr>
        <w:t>les</w:t>
      </w:r>
      <w:proofErr w:type="gramEnd"/>
      <w:r w:rsidR="009F4033">
        <w:rPr>
          <w:lang w:val="fr-CA"/>
        </w:rPr>
        <w:t xml:space="preserve"> </w:t>
      </w:r>
      <w:r w:rsidR="00121C34">
        <w:rPr>
          <w:lang w:val="fr-CA"/>
        </w:rPr>
        <w:t xml:space="preserve">points de </w:t>
      </w:r>
      <w:r w:rsidR="00D01FF9">
        <w:rPr>
          <w:lang w:val="fr-CA"/>
        </w:rPr>
        <w:t xml:space="preserve">repère </w:t>
      </w:r>
      <w:r w:rsidR="00C51559">
        <w:rPr>
          <w:lang w:val="fr-CA"/>
        </w:rPr>
        <w:t>clé</w:t>
      </w:r>
      <w:r w:rsidR="007459E7">
        <w:rPr>
          <w:lang w:val="fr-CA"/>
        </w:rPr>
        <w:t>s</w:t>
      </w:r>
      <w:r w:rsidR="00C51559">
        <w:rPr>
          <w:lang w:val="fr-CA"/>
        </w:rPr>
        <w:t xml:space="preserve"> </w:t>
      </w:r>
      <w:r w:rsidR="00D01FF9">
        <w:rPr>
          <w:lang w:val="fr-CA"/>
        </w:rPr>
        <w:t>pour la signalisation et l</w:t>
      </w:r>
      <w:r w:rsidR="001027BE">
        <w:rPr>
          <w:lang w:val="fr-CA"/>
        </w:rPr>
        <w:t>’</w:t>
      </w:r>
      <w:r w:rsidR="00AA71C8" w:rsidRPr="00F54289">
        <w:rPr>
          <w:lang w:val="fr-CA"/>
        </w:rPr>
        <w:t>orientation; et</w:t>
      </w:r>
    </w:p>
    <w:p w14:paraId="6DAFEAE2" w14:textId="296A6C57" w:rsidR="00AA71C8" w:rsidRPr="00FD482B" w:rsidRDefault="001F57F4" w:rsidP="003F66F0">
      <w:pPr>
        <w:pStyle w:val="ListRef"/>
        <w:numPr>
          <w:ilvl w:val="1"/>
          <w:numId w:val="13"/>
        </w:numPr>
        <w:rPr>
          <w:lang w:val="fr-CA"/>
        </w:rPr>
      </w:pPr>
      <w:proofErr w:type="gramStart"/>
      <w:r w:rsidRPr="00FD482B">
        <w:rPr>
          <w:lang w:val="fr-CA"/>
        </w:rPr>
        <w:t>les</w:t>
      </w:r>
      <w:proofErr w:type="gramEnd"/>
      <w:r w:rsidRPr="00FD482B">
        <w:rPr>
          <w:lang w:val="fr-CA"/>
        </w:rPr>
        <w:t xml:space="preserve"> </w:t>
      </w:r>
      <w:r w:rsidR="00AA71C8" w:rsidRPr="00FD482B">
        <w:rPr>
          <w:lang w:val="fr-CA"/>
        </w:rPr>
        <w:t xml:space="preserve">systèmes </w:t>
      </w:r>
      <w:r w:rsidRPr="00FD482B">
        <w:rPr>
          <w:lang w:val="fr-CA"/>
        </w:rPr>
        <w:t xml:space="preserve">de communication et </w:t>
      </w:r>
      <w:r w:rsidR="00AA71C8" w:rsidRPr="00FD482B">
        <w:rPr>
          <w:lang w:val="fr-CA"/>
        </w:rPr>
        <w:t>d</w:t>
      </w:r>
      <w:r w:rsidR="001027BE">
        <w:rPr>
          <w:lang w:val="fr-CA"/>
        </w:rPr>
        <w:t>’</w:t>
      </w:r>
      <w:r w:rsidR="00AA71C8" w:rsidRPr="00FD482B">
        <w:rPr>
          <w:lang w:val="fr-CA"/>
        </w:rPr>
        <w:t>information.</w:t>
      </w:r>
    </w:p>
    <w:p w14:paraId="10D2E33B" w14:textId="2B3CBA8C" w:rsidR="00AA71C8" w:rsidRPr="00FB6FAD" w:rsidRDefault="00B675EB" w:rsidP="00AA71C8">
      <w:pPr>
        <w:rPr>
          <w:lang w:val="fr-CA"/>
        </w:rPr>
      </w:pPr>
      <w:r>
        <w:rPr>
          <w:rStyle w:val="EmphasisUseSparingly"/>
          <w:lang w:val="fr-CA"/>
        </w:rPr>
        <w:t>Remarque</w:t>
      </w:r>
      <w:r w:rsidR="003C1DE5">
        <w:rPr>
          <w:rStyle w:val="EmphasisUseSparingly"/>
          <w:lang w:val="fr-CA"/>
        </w:rPr>
        <w:t> </w:t>
      </w:r>
      <w:r w:rsidR="00AA71C8" w:rsidRPr="00FB6FAD">
        <w:rPr>
          <w:rStyle w:val="EmphasisUseSparingly"/>
          <w:lang w:val="fr-CA"/>
        </w:rPr>
        <w:t>1</w:t>
      </w:r>
      <w:r w:rsidR="00BB3D95">
        <w:rPr>
          <w:rStyle w:val="EmphasisUseSparingly"/>
          <w:lang w:val="fr-CA"/>
        </w:rPr>
        <w:t> </w:t>
      </w:r>
      <w:r w:rsidR="00AA71C8" w:rsidRPr="00FB6FAD">
        <w:rPr>
          <w:rStyle w:val="EmphasisUseSparingly"/>
          <w:lang w:val="fr-CA"/>
        </w:rPr>
        <w:t xml:space="preserve">: </w:t>
      </w:r>
      <w:r w:rsidR="00AA71C8" w:rsidRPr="00FB6FAD">
        <w:rPr>
          <w:lang w:val="fr-CA"/>
        </w:rPr>
        <w:t xml:space="preserve">Si un éclairage est installé dans la </w:t>
      </w:r>
      <w:r w:rsidR="00FB6FAD">
        <w:rPr>
          <w:lang w:val="fr-CA"/>
        </w:rPr>
        <w:t>main courante</w:t>
      </w:r>
      <w:r w:rsidR="00AA71C8" w:rsidRPr="00FB6FAD">
        <w:rPr>
          <w:lang w:val="fr-CA"/>
        </w:rPr>
        <w:t>, celle-ci devrait être visible.</w:t>
      </w:r>
    </w:p>
    <w:p w14:paraId="0563FD1E" w14:textId="09291B5E" w:rsidR="00AA71C8" w:rsidRPr="00FB6FAD" w:rsidRDefault="00B675EB" w:rsidP="00AA71C8">
      <w:pPr>
        <w:rPr>
          <w:lang w:val="fr-CA"/>
        </w:rPr>
      </w:pPr>
      <w:r>
        <w:rPr>
          <w:rStyle w:val="EmphasisUseSparingly"/>
          <w:lang w:val="fr-CA"/>
        </w:rPr>
        <w:t>Remarque</w:t>
      </w:r>
      <w:r w:rsidR="003C1DE5">
        <w:rPr>
          <w:rStyle w:val="EmphasisUseSparingly"/>
          <w:lang w:val="fr-CA"/>
        </w:rPr>
        <w:t> </w:t>
      </w:r>
      <w:r w:rsidR="00AA71C8" w:rsidRPr="00FB6FAD">
        <w:rPr>
          <w:rStyle w:val="EmphasisUseSparingly"/>
          <w:lang w:val="fr-CA"/>
        </w:rPr>
        <w:t>2</w:t>
      </w:r>
      <w:r w:rsidR="00BB3D95">
        <w:rPr>
          <w:rStyle w:val="EmphasisUseSparingly"/>
          <w:lang w:val="fr-CA"/>
        </w:rPr>
        <w:t> </w:t>
      </w:r>
      <w:r w:rsidR="00AA71C8" w:rsidRPr="00FB6FAD">
        <w:rPr>
          <w:rStyle w:val="EmphasisUseSparingly"/>
          <w:lang w:val="fr-CA"/>
        </w:rPr>
        <w:t>:</w:t>
      </w:r>
      <w:r w:rsidR="00AA71C8" w:rsidRPr="00FB6FAD">
        <w:rPr>
          <w:lang w:val="fr-CA"/>
        </w:rPr>
        <w:t xml:space="preserve"> La conception d</w:t>
      </w:r>
      <w:r w:rsidR="001027BE">
        <w:rPr>
          <w:lang w:val="fr-CA"/>
        </w:rPr>
        <w:t>’</w:t>
      </w:r>
      <w:r w:rsidR="00AA71C8" w:rsidRPr="00FB6FAD">
        <w:rPr>
          <w:lang w:val="fr-CA"/>
        </w:rPr>
        <w:t xml:space="preserve">éclairage extérieur peut être intégrée </w:t>
      </w:r>
      <w:r w:rsidR="00A16488">
        <w:rPr>
          <w:lang w:val="fr-CA"/>
        </w:rPr>
        <w:t>dans la main courante</w:t>
      </w:r>
      <w:r w:rsidR="00AA71C8" w:rsidRPr="00FB6FAD">
        <w:rPr>
          <w:lang w:val="fr-CA"/>
        </w:rPr>
        <w:t xml:space="preserve"> lorsque des sources d</w:t>
      </w:r>
      <w:r w:rsidR="001027BE">
        <w:rPr>
          <w:lang w:val="fr-CA"/>
        </w:rPr>
        <w:t>’</w:t>
      </w:r>
      <w:r w:rsidR="00AA71C8" w:rsidRPr="00FB6FAD">
        <w:rPr>
          <w:lang w:val="fr-CA"/>
        </w:rPr>
        <w:t>éclairage au plafond ne peuvent pas être installées.</w:t>
      </w:r>
    </w:p>
    <w:p w14:paraId="67F22197" w14:textId="3256F06E" w:rsidR="00AA71C8" w:rsidRPr="00FB6FAD" w:rsidRDefault="00B675EB" w:rsidP="00AA71C8">
      <w:pPr>
        <w:rPr>
          <w:lang w:val="fr-CA"/>
        </w:rPr>
      </w:pPr>
      <w:r>
        <w:rPr>
          <w:rStyle w:val="EmphasisUseSparingly"/>
          <w:lang w:val="fr-CA"/>
        </w:rPr>
        <w:t>Remarque</w:t>
      </w:r>
      <w:r w:rsidR="003C1DE5">
        <w:rPr>
          <w:rStyle w:val="EmphasisUseSparingly"/>
          <w:lang w:val="fr-CA"/>
        </w:rPr>
        <w:t> </w:t>
      </w:r>
      <w:r w:rsidR="00AA71C8" w:rsidRPr="00FB6FAD">
        <w:rPr>
          <w:rStyle w:val="EmphasisUseSparingly"/>
          <w:lang w:val="fr-CA"/>
        </w:rPr>
        <w:t>3</w:t>
      </w:r>
      <w:r w:rsidR="00BB3D95">
        <w:rPr>
          <w:rStyle w:val="EmphasisUseSparingly"/>
          <w:lang w:val="fr-CA"/>
        </w:rPr>
        <w:t> </w:t>
      </w:r>
      <w:r w:rsidR="00AA71C8" w:rsidRPr="00FB6FAD">
        <w:rPr>
          <w:rStyle w:val="EmphasisUseSparingly"/>
          <w:lang w:val="fr-CA"/>
        </w:rPr>
        <w:t>:</w:t>
      </w:r>
      <w:r w:rsidR="00AA71C8" w:rsidRPr="00FB6FAD">
        <w:rPr>
          <w:lang w:val="fr-CA"/>
        </w:rPr>
        <w:t xml:space="preserve"> Il faut veiller à éviter l</w:t>
      </w:r>
      <w:r w:rsidR="001027BE">
        <w:rPr>
          <w:lang w:val="fr-CA"/>
        </w:rPr>
        <w:t>’</w:t>
      </w:r>
      <w:r w:rsidR="00AA71C8" w:rsidRPr="00FB6FAD">
        <w:rPr>
          <w:lang w:val="fr-CA"/>
        </w:rPr>
        <w:t>utilisation d</w:t>
      </w:r>
      <w:r w:rsidR="001027BE">
        <w:rPr>
          <w:lang w:val="fr-CA"/>
        </w:rPr>
        <w:t>’</w:t>
      </w:r>
      <w:r w:rsidR="00AA71C8" w:rsidRPr="00FB6FAD">
        <w:rPr>
          <w:lang w:val="fr-CA"/>
        </w:rPr>
        <w:t xml:space="preserve">appareils fonctionnant sur un mécanisme </w:t>
      </w:r>
      <w:r w:rsidR="00774F39">
        <w:rPr>
          <w:rFonts w:cs="Arial"/>
          <w:lang w:val="fr-CA"/>
        </w:rPr>
        <w:t>à</w:t>
      </w:r>
      <w:r w:rsidR="00774F39">
        <w:rPr>
          <w:lang w:val="fr-CA"/>
        </w:rPr>
        <w:t xml:space="preserve"> minuterie</w:t>
      </w:r>
      <w:r w:rsidR="00AA71C8" w:rsidRPr="00FB6FAD">
        <w:rPr>
          <w:lang w:val="fr-CA"/>
        </w:rPr>
        <w:t>, car cela pourrait entraîner une perte involontaire d</w:t>
      </w:r>
      <w:r w:rsidR="001027BE">
        <w:rPr>
          <w:lang w:val="fr-CA"/>
        </w:rPr>
        <w:t>’</w:t>
      </w:r>
      <w:r w:rsidR="00AA71C8" w:rsidRPr="00FB6FAD">
        <w:rPr>
          <w:lang w:val="fr-CA"/>
        </w:rPr>
        <w:t>éclairage alors que les éléments d</w:t>
      </w:r>
      <w:r w:rsidR="002271E4">
        <w:rPr>
          <w:lang w:val="fr-CA"/>
        </w:rPr>
        <w:t>’</w:t>
      </w:r>
      <w:r w:rsidR="00C715E2">
        <w:rPr>
          <w:lang w:val="fr-CA"/>
        </w:rPr>
        <w:t>orientation</w:t>
      </w:r>
      <w:r w:rsidR="00AA71C8" w:rsidRPr="00FB6FAD">
        <w:rPr>
          <w:lang w:val="fr-CA"/>
        </w:rPr>
        <w:t xml:space="preserve"> sont encore en usage.</w:t>
      </w:r>
    </w:p>
    <w:p w14:paraId="67D4ADF4" w14:textId="0AA12145" w:rsidR="00AA71C8" w:rsidRDefault="006C031F" w:rsidP="00C352CB">
      <w:pPr>
        <w:pStyle w:val="Heading3"/>
      </w:pPr>
      <w:bookmarkStart w:id="562" w:name="_Toc219706191"/>
      <w:proofErr w:type="spellStart"/>
      <w:r>
        <w:rPr>
          <w:rFonts w:cs="Arial"/>
        </w:rPr>
        <w:t>É</w:t>
      </w:r>
      <w:r w:rsidR="00C352CB">
        <w:t>blouissement</w:t>
      </w:r>
      <w:proofErr w:type="spellEnd"/>
      <w:r w:rsidR="00C352CB">
        <w:t xml:space="preserve"> et ombre</w:t>
      </w:r>
      <w:bookmarkEnd w:id="562"/>
    </w:p>
    <w:p w14:paraId="36FE309A" w14:textId="4A5F0B0C" w:rsidR="001C5A7F" w:rsidRPr="00FF7A64" w:rsidRDefault="001C5A7F" w:rsidP="001C5A7F">
      <w:pPr>
        <w:rPr>
          <w:lang w:val="fr-CA"/>
        </w:rPr>
      </w:pPr>
      <w:r w:rsidRPr="00FF7A64">
        <w:rPr>
          <w:lang w:val="fr-CA"/>
        </w:rPr>
        <w:t>Diverses affections oculaires font en sorte que beaucoup de gens soient affectés par les effets de l</w:t>
      </w:r>
      <w:r w:rsidR="001027BE">
        <w:rPr>
          <w:lang w:val="fr-CA"/>
        </w:rPr>
        <w:t>’</w:t>
      </w:r>
      <w:r w:rsidRPr="00FF7A64">
        <w:rPr>
          <w:lang w:val="fr-CA"/>
        </w:rPr>
        <w:t>éblouissement. L</w:t>
      </w:r>
      <w:r w:rsidR="001027BE">
        <w:rPr>
          <w:lang w:val="fr-CA"/>
        </w:rPr>
        <w:t>’</w:t>
      </w:r>
      <w:r w:rsidRPr="00FF7A64">
        <w:rPr>
          <w:lang w:val="fr-CA"/>
        </w:rPr>
        <w:t>éblouissement peut causer de l</w:t>
      </w:r>
      <w:r w:rsidR="001027BE">
        <w:rPr>
          <w:lang w:val="fr-CA"/>
        </w:rPr>
        <w:t>’</w:t>
      </w:r>
      <w:r w:rsidRPr="00FF7A64">
        <w:rPr>
          <w:lang w:val="fr-CA"/>
        </w:rPr>
        <w:t>inconfort et nuire à la capacité d</w:t>
      </w:r>
      <w:r w:rsidR="001027BE">
        <w:rPr>
          <w:lang w:val="fr-CA"/>
        </w:rPr>
        <w:t>’</w:t>
      </w:r>
      <w:r w:rsidRPr="00FF7A64">
        <w:rPr>
          <w:lang w:val="fr-CA"/>
        </w:rPr>
        <w:t>accomplir efficacement les tâches quotidiennes en causant une mauvaise interprétation des informations visuellement contrastées dans les affichages visuels.</w:t>
      </w:r>
    </w:p>
    <w:p w14:paraId="509B449C" w14:textId="4CF3B443" w:rsidR="001C5A7F" w:rsidRPr="00FF7A64" w:rsidRDefault="001C5A7F" w:rsidP="001C5A7F">
      <w:pPr>
        <w:rPr>
          <w:lang w:val="fr-CA"/>
        </w:rPr>
      </w:pPr>
      <w:r w:rsidRPr="00FF7A64">
        <w:rPr>
          <w:lang w:val="fr-CA"/>
        </w:rPr>
        <w:lastRenderedPageBreak/>
        <w:t>La conception d</w:t>
      </w:r>
      <w:r w:rsidR="001027BE">
        <w:rPr>
          <w:lang w:val="fr-CA"/>
        </w:rPr>
        <w:t>’</w:t>
      </w:r>
      <w:r w:rsidRPr="00FF7A64">
        <w:rPr>
          <w:lang w:val="fr-CA"/>
        </w:rPr>
        <w:t>éclairage pour les objets ou surfaces causant l</w:t>
      </w:r>
      <w:r w:rsidR="001027BE">
        <w:rPr>
          <w:lang w:val="fr-CA"/>
        </w:rPr>
        <w:t>’</w:t>
      </w:r>
      <w:r w:rsidRPr="00FF7A64">
        <w:rPr>
          <w:lang w:val="fr-CA"/>
        </w:rPr>
        <w:t>éblouissement et l</w:t>
      </w:r>
      <w:r w:rsidR="001027BE">
        <w:rPr>
          <w:lang w:val="fr-CA"/>
        </w:rPr>
        <w:t>’</w:t>
      </w:r>
      <w:r w:rsidRPr="00FF7A64">
        <w:rPr>
          <w:lang w:val="fr-CA"/>
        </w:rPr>
        <w:t>ombre doit</w:t>
      </w:r>
      <w:r w:rsidR="00BB3D95">
        <w:rPr>
          <w:lang w:val="fr-CA"/>
        </w:rPr>
        <w:t> </w:t>
      </w:r>
      <w:r w:rsidRPr="00FF7A64">
        <w:rPr>
          <w:lang w:val="fr-CA"/>
        </w:rPr>
        <w:t>:</w:t>
      </w:r>
    </w:p>
    <w:p w14:paraId="6FA3E524" w14:textId="743089F3" w:rsidR="001C5A7F" w:rsidRPr="00FF7A64" w:rsidRDefault="001C5A7F" w:rsidP="003F66F0">
      <w:pPr>
        <w:pStyle w:val="ListRef"/>
        <w:numPr>
          <w:ilvl w:val="0"/>
          <w:numId w:val="12"/>
        </w:numPr>
        <w:rPr>
          <w:lang w:val="fr-CA"/>
        </w:rPr>
      </w:pPr>
      <w:proofErr w:type="gramStart"/>
      <w:r w:rsidRPr="00FF7A64">
        <w:rPr>
          <w:lang w:val="fr-CA"/>
        </w:rPr>
        <w:t>utiliser</w:t>
      </w:r>
      <w:proofErr w:type="gramEnd"/>
      <w:r w:rsidRPr="00FF7A64">
        <w:rPr>
          <w:lang w:val="fr-CA"/>
        </w:rPr>
        <w:t xml:space="preserve"> le </w:t>
      </w:r>
      <w:proofErr w:type="spellStart"/>
      <w:r w:rsidRPr="00FF7A64">
        <w:rPr>
          <w:lang w:val="fr-CA"/>
        </w:rPr>
        <w:t>Unified</w:t>
      </w:r>
      <w:proofErr w:type="spellEnd"/>
      <w:r w:rsidRPr="00FF7A64">
        <w:rPr>
          <w:lang w:val="fr-CA"/>
        </w:rPr>
        <w:t xml:space="preserve"> </w:t>
      </w:r>
      <w:proofErr w:type="spellStart"/>
      <w:r w:rsidRPr="00FF7A64">
        <w:rPr>
          <w:lang w:val="fr-CA"/>
        </w:rPr>
        <w:t>Glare</w:t>
      </w:r>
      <w:proofErr w:type="spellEnd"/>
      <w:r w:rsidRPr="00FF7A64">
        <w:rPr>
          <w:lang w:val="fr-CA"/>
        </w:rPr>
        <w:t xml:space="preserve"> Rating (UGR) pour évaluer les niveaux d</w:t>
      </w:r>
      <w:r w:rsidR="001027BE">
        <w:rPr>
          <w:lang w:val="fr-CA"/>
        </w:rPr>
        <w:t>’</w:t>
      </w:r>
      <w:r w:rsidRPr="00FF7A64">
        <w:rPr>
          <w:lang w:val="fr-CA"/>
        </w:rPr>
        <w:t>inconfort causés par des sources lumineuses;</w:t>
      </w:r>
      <w:r w:rsidR="003008BA">
        <w:rPr>
          <w:lang w:val="fr-CA"/>
        </w:rPr>
        <w:t xml:space="preserve"> et</w:t>
      </w:r>
    </w:p>
    <w:p w14:paraId="7F4D99B7" w14:textId="0E80F50A" w:rsidR="0018697C" w:rsidRDefault="001C5A7F" w:rsidP="003F66F0">
      <w:pPr>
        <w:pStyle w:val="ListRef"/>
        <w:numPr>
          <w:ilvl w:val="0"/>
          <w:numId w:val="12"/>
        </w:numPr>
        <w:rPr>
          <w:lang w:val="fr-CA"/>
        </w:rPr>
      </w:pPr>
      <w:proofErr w:type="gramStart"/>
      <w:r w:rsidRPr="00FF7A64">
        <w:rPr>
          <w:lang w:val="fr-CA"/>
        </w:rPr>
        <w:t>assurer</w:t>
      </w:r>
      <w:proofErr w:type="gramEnd"/>
      <w:r w:rsidRPr="00FF7A64">
        <w:rPr>
          <w:lang w:val="fr-CA"/>
        </w:rPr>
        <w:t xml:space="preserve"> que la valeur de l</w:t>
      </w:r>
      <w:r w:rsidR="001027BE">
        <w:rPr>
          <w:lang w:val="fr-CA"/>
        </w:rPr>
        <w:t>’</w:t>
      </w:r>
      <w:r w:rsidRPr="00FF7A64">
        <w:rPr>
          <w:lang w:val="fr-CA"/>
        </w:rPr>
        <w:t>UGR ne dépasse pas 22 dans les zones de circulation et ne dépasse pas 19 dans les pièces habitables.</w:t>
      </w:r>
    </w:p>
    <w:p w14:paraId="67B5D7B2" w14:textId="0A101471" w:rsidR="0018697C" w:rsidRPr="0018697C" w:rsidRDefault="00EC1EB2" w:rsidP="0018697C">
      <w:pPr>
        <w:pStyle w:val="Heading4"/>
        <w:rPr>
          <w:lang w:val="fr-CA"/>
        </w:rPr>
      </w:pPr>
      <w:r>
        <w:rPr>
          <w:lang w:val="fr-CA"/>
        </w:rPr>
        <w:t>Prévenir</w:t>
      </w:r>
      <w:r w:rsidR="00D31ADF">
        <w:rPr>
          <w:lang w:val="fr-CA"/>
        </w:rPr>
        <w:t xml:space="preserve"> l’</w:t>
      </w:r>
      <w:r>
        <w:rPr>
          <w:lang w:val="fr-CA"/>
        </w:rPr>
        <w:t>éblouissement</w:t>
      </w:r>
      <w:r w:rsidR="00D31ADF">
        <w:rPr>
          <w:lang w:val="fr-CA"/>
        </w:rPr>
        <w:t xml:space="preserve"> et </w:t>
      </w:r>
      <w:r w:rsidR="00B91F8F">
        <w:rPr>
          <w:lang w:val="fr-CA"/>
        </w:rPr>
        <w:t xml:space="preserve">les </w:t>
      </w:r>
      <w:r w:rsidR="00D31ADF">
        <w:rPr>
          <w:lang w:val="fr-CA"/>
        </w:rPr>
        <w:t>ombre</w:t>
      </w:r>
      <w:r w:rsidR="00B91F8F">
        <w:rPr>
          <w:lang w:val="fr-CA"/>
        </w:rPr>
        <w:t>s</w:t>
      </w:r>
    </w:p>
    <w:p w14:paraId="11B279B7" w14:textId="7B3F60F7" w:rsidR="00042EEE" w:rsidRPr="00FF7A64" w:rsidRDefault="00042EEE" w:rsidP="00042EEE">
      <w:pPr>
        <w:rPr>
          <w:lang w:val="fr-CA"/>
        </w:rPr>
      </w:pPr>
      <w:r w:rsidRPr="00FF7A64">
        <w:rPr>
          <w:lang w:val="fr-CA"/>
        </w:rPr>
        <w:t>Les concepteurs devraient prévenir l</w:t>
      </w:r>
      <w:r w:rsidR="001027BE">
        <w:rPr>
          <w:lang w:val="fr-CA"/>
        </w:rPr>
        <w:t>’</w:t>
      </w:r>
      <w:r w:rsidRPr="00FF7A64">
        <w:rPr>
          <w:lang w:val="fr-CA"/>
        </w:rPr>
        <w:t xml:space="preserve">éblouissement et </w:t>
      </w:r>
      <w:r w:rsidR="00EC1EB2">
        <w:rPr>
          <w:lang w:val="fr-CA"/>
        </w:rPr>
        <w:t xml:space="preserve">les </w:t>
      </w:r>
      <w:r w:rsidRPr="00FF7A64">
        <w:rPr>
          <w:lang w:val="fr-CA"/>
        </w:rPr>
        <w:t>ombre</w:t>
      </w:r>
      <w:r w:rsidR="00EC1EB2">
        <w:rPr>
          <w:lang w:val="fr-CA"/>
        </w:rPr>
        <w:t>s</w:t>
      </w:r>
      <w:r w:rsidRPr="00FF7A64">
        <w:rPr>
          <w:lang w:val="fr-CA"/>
        </w:rPr>
        <w:t xml:space="preserve"> en</w:t>
      </w:r>
      <w:r w:rsidR="00BB3D95">
        <w:rPr>
          <w:lang w:val="fr-CA"/>
        </w:rPr>
        <w:t> </w:t>
      </w:r>
      <w:r w:rsidRPr="00FF7A64">
        <w:rPr>
          <w:lang w:val="fr-CA"/>
        </w:rPr>
        <w:t>:</w:t>
      </w:r>
    </w:p>
    <w:p w14:paraId="1749CCE4" w14:textId="60C1416B" w:rsidR="00224891" w:rsidRDefault="00042EEE" w:rsidP="003F66F0">
      <w:pPr>
        <w:pStyle w:val="ListParagraph"/>
        <w:numPr>
          <w:ilvl w:val="0"/>
          <w:numId w:val="80"/>
        </w:numPr>
        <w:rPr>
          <w:lang w:val="fr-CA"/>
        </w:rPr>
      </w:pPr>
      <w:proofErr w:type="gramStart"/>
      <w:r w:rsidRPr="00224891">
        <w:rPr>
          <w:lang w:val="fr-CA"/>
        </w:rPr>
        <w:t>empêch</w:t>
      </w:r>
      <w:r w:rsidR="00797B75" w:rsidRPr="00224891">
        <w:rPr>
          <w:lang w:val="fr-CA"/>
        </w:rPr>
        <w:t>ant</w:t>
      </w:r>
      <w:proofErr w:type="gramEnd"/>
      <w:r w:rsidRPr="00224891">
        <w:rPr>
          <w:lang w:val="fr-CA"/>
        </w:rPr>
        <w:t xml:space="preserve"> la lumière inutile de se répandre dans des zones indésirables tout en l</w:t>
      </w:r>
      <w:r w:rsidR="001027BE">
        <w:rPr>
          <w:lang w:val="fr-CA"/>
        </w:rPr>
        <w:t>’</w:t>
      </w:r>
      <w:r w:rsidRPr="00224891">
        <w:rPr>
          <w:lang w:val="fr-CA"/>
        </w:rPr>
        <w:t>adoucissant ou la dispersant;</w:t>
      </w:r>
    </w:p>
    <w:p w14:paraId="678962D9" w14:textId="63CB4531" w:rsidR="00224891" w:rsidRPr="00224891" w:rsidRDefault="00042EEE" w:rsidP="003F66F0">
      <w:pPr>
        <w:pStyle w:val="ListParagraph"/>
        <w:numPr>
          <w:ilvl w:val="0"/>
          <w:numId w:val="80"/>
        </w:numPr>
        <w:rPr>
          <w:lang w:val="fr-CA"/>
        </w:rPr>
      </w:pPr>
      <w:proofErr w:type="spellStart"/>
      <w:r w:rsidRPr="002977F3">
        <w:t>utilisant</w:t>
      </w:r>
      <w:proofErr w:type="spellEnd"/>
      <w:r w:rsidRPr="002977F3">
        <w:t xml:space="preserve"> </w:t>
      </w:r>
      <w:proofErr w:type="spellStart"/>
      <w:r w:rsidRPr="002977F3">
        <w:t>l</w:t>
      </w:r>
      <w:r w:rsidR="001027BE">
        <w:t>’</w:t>
      </w:r>
      <w:r w:rsidRPr="002977F3">
        <w:t>éclairage</w:t>
      </w:r>
      <w:proofErr w:type="spellEnd"/>
      <w:r w:rsidRPr="002977F3">
        <w:t xml:space="preserve"> </w:t>
      </w:r>
      <w:proofErr w:type="gramStart"/>
      <w:r w:rsidRPr="002977F3">
        <w:t>indirect;</w:t>
      </w:r>
      <w:proofErr w:type="gramEnd"/>
    </w:p>
    <w:p w14:paraId="04490A03" w14:textId="58961BE3" w:rsidR="00224891" w:rsidRPr="00E438D0" w:rsidRDefault="00042EEE" w:rsidP="003F66F0">
      <w:pPr>
        <w:pStyle w:val="ListParagraph"/>
        <w:numPr>
          <w:ilvl w:val="0"/>
          <w:numId w:val="80"/>
        </w:numPr>
        <w:rPr>
          <w:lang w:val="fr-CA"/>
        </w:rPr>
      </w:pPr>
      <w:proofErr w:type="gramStart"/>
      <w:r w:rsidRPr="00224891">
        <w:rPr>
          <w:lang w:val="fr-CA"/>
        </w:rPr>
        <w:t>positionn</w:t>
      </w:r>
      <w:r w:rsidR="00AB66D4" w:rsidRPr="00224891">
        <w:rPr>
          <w:lang w:val="fr-CA"/>
        </w:rPr>
        <w:t>ant</w:t>
      </w:r>
      <w:proofErr w:type="gramEnd"/>
      <w:r w:rsidRPr="00224891">
        <w:rPr>
          <w:lang w:val="fr-CA"/>
        </w:rPr>
        <w:t xml:space="preserve"> la source lumineuse de façon appropriée en fonction de l</w:t>
      </w:r>
      <w:r w:rsidR="001027BE">
        <w:rPr>
          <w:lang w:val="fr-CA"/>
        </w:rPr>
        <w:t>’</w:t>
      </w:r>
      <w:r w:rsidRPr="00224891">
        <w:rPr>
          <w:lang w:val="fr-CA"/>
        </w:rPr>
        <w:t>observation</w:t>
      </w:r>
      <w:r w:rsidR="00E438D0">
        <w:rPr>
          <w:lang w:val="fr-CA"/>
        </w:rPr>
        <w:t xml:space="preserve"> </w:t>
      </w:r>
      <w:r w:rsidR="00D83EBF">
        <w:rPr>
          <w:lang w:val="fr-CA"/>
        </w:rPr>
        <w:t>selon</w:t>
      </w:r>
      <w:r w:rsidR="00E438D0">
        <w:rPr>
          <w:lang w:val="fr-CA"/>
        </w:rPr>
        <w:t xml:space="preserve"> </w:t>
      </w:r>
      <w:r w:rsidRPr="00E438D0">
        <w:rPr>
          <w:lang w:val="fr-CA"/>
        </w:rPr>
        <w:t>la direction et le point focal visé;</w:t>
      </w:r>
    </w:p>
    <w:p w14:paraId="35DBC7D4" w14:textId="234E0DE8" w:rsidR="00224891" w:rsidRDefault="00D711F7" w:rsidP="003F66F0">
      <w:pPr>
        <w:pStyle w:val="ListParagraph"/>
        <w:numPr>
          <w:ilvl w:val="0"/>
          <w:numId w:val="80"/>
        </w:numPr>
        <w:rPr>
          <w:lang w:val="fr-CA"/>
        </w:rPr>
      </w:pPr>
      <w:proofErr w:type="gramStart"/>
      <w:r w:rsidRPr="00224891">
        <w:rPr>
          <w:lang w:val="fr-CA"/>
        </w:rPr>
        <w:t>limitant</w:t>
      </w:r>
      <w:proofErr w:type="gramEnd"/>
      <w:r w:rsidR="00042EEE" w:rsidRPr="00224891">
        <w:rPr>
          <w:lang w:val="fr-CA"/>
        </w:rPr>
        <w:t xml:space="preserve"> l</w:t>
      </w:r>
      <w:r w:rsidR="001027BE">
        <w:rPr>
          <w:lang w:val="fr-CA"/>
        </w:rPr>
        <w:t>’</w:t>
      </w:r>
      <w:r w:rsidR="00042EEE" w:rsidRPr="00224891">
        <w:rPr>
          <w:lang w:val="fr-CA"/>
        </w:rPr>
        <w:t>utilisation des</w:t>
      </w:r>
      <w:r w:rsidR="002F6CD0">
        <w:rPr>
          <w:lang w:val="fr-CA"/>
        </w:rPr>
        <w:t xml:space="preserve"> luminaires orient</w:t>
      </w:r>
      <w:r w:rsidR="00B13337">
        <w:rPr>
          <w:rFonts w:cs="Arial"/>
          <w:lang w:val="fr-CA"/>
        </w:rPr>
        <w:t>é</w:t>
      </w:r>
      <w:r w:rsidR="002F6CD0">
        <w:rPr>
          <w:lang w:val="fr-CA"/>
        </w:rPr>
        <w:t xml:space="preserve">s vers </w:t>
      </w:r>
      <w:r w:rsidR="006C28AF">
        <w:rPr>
          <w:lang w:val="fr-CA"/>
        </w:rPr>
        <w:t>le haut installé</w:t>
      </w:r>
      <w:r w:rsidR="00042EEE" w:rsidRPr="00224891">
        <w:rPr>
          <w:lang w:val="fr-CA"/>
        </w:rPr>
        <w:t xml:space="preserve"> au sol ou à des niveaux bas qui interfèrent avec le champ visuel de l</w:t>
      </w:r>
      <w:r w:rsidR="001027BE">
        <w:rPr>
          <w:lang w:val="fr-CA"/>
        </w:rPr>
        <w:t>’</w:t>
      </w:r>
      <w:r w:rsidR="00042EEE" w:rsidRPr="00224891">
        <w:rPr>
          <w:lang w:val="fr-CA"/>
        </w:rPr>
        <w:t>utilisateur;</w:t>
      </w:r>
    </w:p>
    <w:p w14:paraId="0A781371" w14:textId="33D91A9F" w:rsidR="00224891" w:rsidRDefault="00042EEE" w:rsidP="003F66F0">
      <w:pPr>
        <w:pStyle w:val="ListParagraph"/>
        <w:numPr>
          <w:ilvl w:val="0"/>
          <w:numId w:val="80"/>
        </w:numPr>
        <w:rPr>
          <w:lang w:val="fr-CA"/>
        </w:rPr>
      </w:pPr>
      <w:proofErr w:type="gramStart"/>
      <w:r w:rsidRPr="00224891">
        <w:rPr>
          <w:lang w:val="fr-CA"/>
        </w:rPr>
        <w:t>s</w:t>
      </w:r>
      <w:r w:rsidR="00D711F7" w:rsidRPr="00224891">
        <w:rPr>
          <w:lang w:val="fr-CA"/>
        </w:rPr>
        <w:t>’assurant</w:t>
      </w:r>
      <w:proofErr w:type="gramEnd"/>
      <w:r w:rsidRPr="00224891">
        <w:rPr>
          <w:lang w:val="fr-CA"/>
        </w:rPr>
        <w:t xml:space="preserve"> que les agencements des corridors n</w:t>
      </w:r>
      <w:r w:rsidR="001027BE">
        <w:rPr>
          <w:lang w:val="fr-CA"/>
        </w:rPr>
        <w:t>’</w:t>
      </w:r>
      <w:r w:rsidRPr="00224891">
        <w:rPr>
          <w:lang w:val="fr-CA"/>
        </w:rPr>
        <w:t>incluent pas de fenêtres à leurs extrémités;</w:t>
      </w:r>
    </w:p>
    <w:p w14:paraId="600D09AF" w14:textId="77777777" w:rsidR="00224891" w:rsidRDefault="00042EEE" w:rsidP="003F66F0">
      <w:pPr>
        <w:pStyle w:val="ListParagraph"/>
        <w:numPr>
          <w:ilvl w:val="0"/>
          <w:numId w:val="80"/>
        </w:numPr>
        <w:rPr>
          <w:lang w:val="fr-CA"/>
        </w:rPr>
      </w:pPr>
      <w:proofErr w:type="gramStart"/>
      <w:r w:rsidRPr="00224891">
        <w:rPr>
          <w:lang w:val="fr-CA"/>
        </w:rPr>
        <w:t>choisi</w:t>
      </w:r>
      <w:r w:rsidR="008029D4" w:rsidRPr="00224891">
        <w:rPr>
          <w:lang w:val="fr-CA"/>
        </w:rPr>
        <w:t>ssant</w:t>
      </w:r>
      <w:proofErr w:type="gramEnd"/>
      <w:r w:rsidRPr="00224891">
        <w:rPr>
          <w:lang w:val="fr-CA"/>
        </w:rPr>
        <w:t xml:space="preserve"> des plafonds et des murs de couleur claire pour éviter de positionner les sources lumineuses sur des fonds sombres;</w:t>
      </w:r>
    </w:p>
    <w:p w14:paraId="08CAFFDA" w14:textId="77777777" w:rsidR="00224891" w:rsidRDefault="00042EEE" w:rsidP="003F66F0">
      <w:pPr>
        <w:pStyle w:val="ListParagraph"/>
        <w:numPr>
          <w:ilvl w:val="0"/>
          <w:numId w:val="80"/>
        </w:numPr>
        <w:rPr>
          <w:lang w:val="fr-CA"/>
        </w:rPr>
      </w:pPr>
      <w:proofErr w:type="gramStart"/>
      <w:r w:rsidRPr="00224891">
        <w:rPr>
          <w:lang w:val="fr-CA"/>
        </w:rPr>
        <w:t>empêchant</w:t>
      </w:r>
      <w:proofErr w:type="gramEnd"/>
      <w:r w:rsidRPr="00224891">
        <w:rPr>
          <w:lang w:val="fr-CA"/>
        </w:rPr>
        <w:t xml:space="preserve"> les changements soudains entre des zones très éclairées et des zones sombres; et</w:t>
      </w:r>
    </w:p>
    <w:p w14:paraId="5837C667" w14:textId="0C62265E" w:rsidR="00042EEE" w:rsidRPr="00224891" w:rsidRDefault="005A0FF6" w:rsidP="003F66F0">
      <w:pPr>
        <w:pStyle w:val="ListParagraph"/>
        <w:numPr>
          <w:ilvl w:val="0"/>
          <w:numId w:val="80"/>
        </w:numPr>
        <w:rPr>
          <w:lang w:val="fr-CA"/>
        </w:rPr>
      </w:pPr>
      <w:proofErr w:type="gramStart"/>
      <w:r w:rsidRPr="00224891">
        <w:rPr>
          <w:lang w:val="fr-CA"/>
        </w:rPr>
        <w:t>r</w:t>
      </w:r>
      <w:r w:rsidR="00042EEE" w:rsidRPr="00224891">
        <w:rPr>
          <w:lang w:val="fr-CA"/>
        </w:rPr>
        <w:t>égul</w:t>
      </w:r>
      <w:r w:rsidR="00F90555" w:rsidRPr="00224891">
        <w:rPr>
          <w:lang w:val="fr-CA"/>
        </w:rPr>
        <w:t>ant</w:t>
      </w:r>
      <w:proofErr w:type="gramEnd"/>
      <w:r w:rsidR="00042EEE" w:rsidRPr="00224891">
        <w:rPr>
          <w:lang w:val="fr-CA"/>
        </w:rPr>
        <w:t xml:space="preserve"> les niveaux d</w:t>
      </w:r>
      <w:r w:rsidR="001027BE">
        <w:rPr>
          <w:lang w:val="fr-CA"/>
        </w:rPr>
        <w:t>’</w:t>
      </w:r>
      <w:r w:rsidR="00042EEE" w:rsidRPr="00224891">
        <w:rPr>
          <w:lang w:val="fr-CA"/>
        </w:rPr>
        <w:t>éclairage aux entrées pour éviter l</w:t>
      </w:r>
      <w:r w:rsidR="001027BE">
        <w:rPr>
          <w:lang w:val="fr-CA"/>
        </w:rPr>
        <w:t>’</w:t>
      </w:r>
      <w:r w:rsidR="00042EEE" w:rsidRPr="00224891">
        <w:rPr>
          <w:lang w:val="fr-CA"/>
        </w:rPr>
        <w:t>éblouissement lors des déplacements entre les espaces intérieurs et extérieurs.</w:t>
      </w:r>
    </w:p>
    <w:p w14:paraId="6210BBB6" w14:textId="40D20238" w:rsidR="001C5A7F" w:rsidRDefault="006C031F" w:rsidP="0011742E">
      <w:pPr>
        <w:pStyle w:val="Heading3"/>
      </w:pPr>
      <w:bookmarkStart w:id="563" w:name="_Toc219706192"/>
      <w:proofErr w:type="spellStart"/>
      <w:r>
        <w:rPr>
          <w:rFonts w:cs="Arial"/>
        </w:rPr>
        <w:lastRenderedPageBreak/>
        <w:t>É</w:t>
      </w:r>
      <w:r w:rsidR="0011742E">
        <w:t>clairage</w:t>
      </w:r>
      <w:proofErr w:type="spellEnd"/>
      <w:r w:rsidR="0011742E">
        <w:t xml:space="preserve"> </w:t>
      </w:r>
      <w:proofErr w:type="spellStart"/>
      <w:r w:rsidR="0011742E">
        <w:t>intérieur</w:t>
      </w:r>
      <w:bookmarkEnd w:id="563"/>
      <w:proofErr w:type="spellEnd"/>
    </w:p>
    <w:p w14:paraId="1C429FE4" w14:textId="7F037C57" w:rsidR="0011742E" w:rsidRPr="00EF3798" w:rsidRDefault="0011742E" w:rsidP="0011742E">
      <w:pPr>
        <w:rPr>
          <w:lang w:val="fr-CA"/>
        </w:rPr>
      </w:pPr>
      <w:r w:rsidRPr="00EF3798">
        <w:rPr>
          <w:lang w:val="fr-CA"/>
        </w:rPr>
        <w:t>L</w:t>
      </w:r>
      <w:r w:rsidR="001027BE">
        <w:rPr>
          <w:lang w:val="fr-CA"/>
        </w:rPr>
        <w:t>’</w:t>
      </w:r>
      <w:r w:rsidRPr="00EF3798">
        <w:rPr>
          <w:lang w:val="fr-CA"/>
        </w:rPr>
        <w:t>éclairage naturel et l</w:t>
      </w:r>
      <w:r w:rsidR="001027BE">
        <w:rPr>
          <w:lang w:val="fr-CA"/>
        </w:rPr>
        <w:t>’</w:t>
      </w:r>
      <w:r w:rsidRPr="00EF3798">
        <w:rPr>
          <w:lang w:val="fr-CA"/>
        </w:rPr>
        <w:t>éclairage installé influencent la perception des informations nécessaires à la navigation dans les environnements intérieurs.</w:t>
      </w:r>
    </w:p>
    <w:p w14:paraId="07712FC7" w14:textId="109E0C81" w:rsidR="0011742E" w:rsidRDefault="006C031F" w:rsidP="008168E6">
      <w:pPr>
        <w:pStyle w:val="Heading4"/>
      </w:pPr>
      <w:proofErr w:type="spellStart"/>
      <w:r>
        <w:rPr>
          <w:rFonts w:cs="Arial"/>
        </w:rPr>
        <w:t>É</w:t>
      </w:r>
      <w:r w:rsidR="00E56CBB">
        <w:t>clairage</w:t>
      </w:r>
      <w:proofErr w:type="spellEnd"/>
      <w:r w:rsidR="00E56CBB">
        <w:t xml:space="preserve"> naturel et </w:t>
      </w:r>
      <w:proofErr w:type="spellStart"/>
      <w:r w:rsidR="00E56CBB">
        <w:t>artificiel</w:t>
      </w:r>
      <w:proofErr w:type="spellEnd"/>
    </w:p>
    <w:p w14:paraId="23241573" w14:textId="217BD528" w:rsidR="00E56CBB" w:rsidRPr="00EF3798" w:rsidRDefault="00E56CBB" w:rsidP="00E56CBB">
      <w:pPr>
        <w:rPr>
          <w:lang w:val="fr-CA"/>
        </w:rPr>
      </w:pPr>
      <w:r w:rsidRPr="00EF3798">
        <w:rPr>
          <w:lang w:val="fr-CA"/>
        </w:rPr>
        <w:t>L</w:t>
      </w:r>
      <w:r w:rsidR="001027BE">
        <w:rPr>
          <w:lang w:val="fr-CA"/>
        </w:rPr>
        <w:t>’</w:t>
      </w:r>
      <w:r w:rsidRPr="00EF3798">
        <w:rPr>
          <w:lang w:val="fr-CA"/>
        </w:rPr>
        <w:t>éclairage intérieur peut être naturel, artificiel, ou les deux.</w:t>
      </w:r>
    </w:p>
    <w:p w14:paraId="3A578F48" w14:textId="18395085" w:rsidR="00E56CBB" w:rsidRPr="00EF3798" w:rsidRDefault="00E56CBB" w:rsidP="00E56CBB">
      <w:pPr>
        <w:rPr>
          <w:lang w:val="fr-CA"/>
        </w:rPr>
      </w:pPr>
      <w:r w:rsidRPr="00EF3798">
        <w:rPr>
          <w:lang w:val="fr-CA"/>
        </w:rPr>
        <w:t>La conception de l</w:t>
      </w:r>
      <w:r w:rsidR="001027BE">
        <w:rPr>
          <w:lang w:val="fr-CA"/>
        </w:rPr>
        <w:t>’</w:t>
      </w:r>
      <w:r w:rsidRPr="00EF3798">
        <w:rPr>
          <w:lang w:val="fr-CA"/>
        </w:rPr>
        <w:t>éclairage intérieur doit</w:t>
      </w:r>
      <w:r w:rsidR="00BB3D95">
        <w:rPr>
          <w:lang w:val="fr-CA"/>
        </w:rPr>
        <w:t> </w:t>
      </w:r>
      <w:r w:rsidRPr="00EF3798">
        <w:rPr>
          <w:lang w:val="fr-CA"/>
        </w:rPr>
        <w:t>:</w:t>
      </w:r>
    </w:p>
    <w:p w14:paraId="4C2080F7" w14:textId="23FE3A49" w:rsidR="00E56CBB" w:rsidRPr="00EF3798" w:rsidRDefault="00E56CBB" w:rsidP="003F66F0">
      <w:pPr>
        <w:pStyle w:val="ListRef"/>
        <w:numPr>
          <w:ilvl w:val="0"/>
          <w:numId w:val="14"/>
        </w:numPr>
        <w:rPr>
          <w:lang w:val="fr-CA"/>
        </w:rPr>
      </w:pPr>
      <w:proofErr w:type="gramStart"/>
      <w:r w:rsidRPr="00EF3798">
        <w:rPr>
          <w:lang w:val="fr-CA"/>
        </w:rPr>
        <w:t>utiliser</w:t>
      </w:r>
      <w:proofErr w:type="gramEnd"/>
      <w:r w:rsidRPr="00EF3798">
        <w:rPr>
          <w:lang w:val="fr-CA"/>
        </w:rPr>
        <w:t xml:space="preserve"> la lumière naturelle disponible pour éclairer les entrées et les corridors;</w:t>
      </w:r>
    </w:p>
    <w:p w14:paraId="16006C55" w14:textId="77777777" w:rsidR="00E56CBB" w:rsidRPr="00877353" w:rsidRDefault="00E56CBB" w:rsidP="003F66F0">
      <w:pPr>
        <w:pStyle w:val="ListRef"/>
        <w:numPr>
          <w:ilvl w:val="0"/>
          <w:numId w:val="14"/>
        </w:numPr>
        <w:rPr>
          <w:lang w:val="fr-CA"/>
        </w:rPr>
      </w:pPr>
      <w:proofErr w:type="gramStart"/>
      <w:r w:rsidRPr="00877353">
        <w:rPr>
          <w:lang w:val="fr-CA"/>
        </w:rPr>
        <w:t>intégrer</w:t>
      </w:r>
      <w:proofErr w:type="gramEnd"/>
      <w:r w:rsidRPr="00877353">
        <w:rPr>
          <w:lang w:val="fr-CA"/>
        </w:rPr>
        <w:t xml:space="preserve"> un éclairage artificiel et naturel pour offrir une lumière confortable et uniformément répartie sur les surfaces de travail et tout au long des voies de circulation, en tout temps;</w:t>
      </w:r>
    </w:p>
    <w:p w14:paraId="2948C23C" w14:textId="3113BC98" w:rsidR="00E56CBB" w:rsidRPr="003B3B8E" w:rsidRDefault="00E56CBB" w:rsidP="003F66F0">
      <w:pPr>
        <w:pStyle w:val="ListRef"/>
        <w:numPr>
          <w:ilvl w:val="0"/>
          <w:numId w:val="14"/>
        </w:numPr>
        <w:rPr>
          <w:lang w:val="fr-CA"/>
        </w:rPr>
      </w:pPr>
      <w:proofErr w:type="gramStart"/>
      <w:r w:rsidRPr="003B3B8E">
        <w:rPr>
          <w:lang w:val="fr-CA"/>
        </w:rPr>
        <w:t>contrôler</w:t>
      </w:r>
      <w:proofErr w:type="gramEnd"/>
      <w:r w:rsidRPr="003B3B8E">
        <w:rPr>
          <w:lang w:val="fr-CA"/>
        </w:rPr>
        <w:t xml:space="preserve"> la lumière naturelle pour éviter l</w:t>
      </w:r>
      <w:r w:rsidR="001027BE">
        <w:rPr>
          <w:lang w:val="fr-CA"/>
        </w:rPr>
        <w:t>’</w:t>
      </w:r>
      <w:r w:rsidRPr="003B3B8E">
        <w:rPr>
          <w:lang w:val="fr-CA"/>
        </w:rPr>
        <w:t>inconfort, une lumière trop forte et l</w:t>
      </w:r>
      <w:r w:rsidR="001027BE">
        <w:rPr>
          <w:lang w:val="fr-CA"/>
        </w:rPr>
        <w:t>’</w:t>
      </w:r>
      <w:r w:rsidRPr="003B3B8E">
        <w:rPr>
          <w:lang w:val="fr-CA"/>
        </w:rPr>
        <w:t>éblouissement (</w:t>
      </w:r>
      <w:r w:rsidR="005E2EF5">
        <w:rPr>
          <w:lang w:val="fr-CA"/>
        </w:rPr>
        <w:t>p.ex.</w:t>
      </w:r>
      <w:r w:rsidRPr="003B3B8E">
        <w:rPr>
          <w:lang w:val="fr-CA"/>
        </w:rPr>
        <w:t>, en utilisant des surplombs, des stores ou une protection teintée UV);</w:t>
      </w:r>
    </w:p>
    <w:p w14:paraId="67504AF7" w14:textId="5F7852EE" w:rsidR="00E56CBB" w:rsidRPr="003B3B8E" w:rsidRDefault="00E56CBB" w:rsidP="003F66F0">
      <w:pPr>
        <w:pStyle w:val="ListRef"/>
        <w:numPr>
          <w:ilvl w:val="0"/>
          <w:numId w:val="14"/>
        </w:numPr>
        <w:rPr>
          <w:lang w:val="fr-CA"/>
        </w:rPr>
      </w:pPr>
      <w:proofErr w:type="gramStart"/>
      <w:r w:rsidRPr="003B3B8E">
        <w:rPr>
          <w:lang w:val="fr-CA"/>
        </w:rPr>
        <w:t>utiliser</w:t>
      </w:r>
      <w:proofErr w:type="gramEnd"/>
      <w:r w:rsidRPr="003B3B8E">
        <w:rPr>
          <w:lang w:val="fr-CA"/>
        </w:rPr>
        <w:t xml:space="preserve"> l</w:t>
      </w:r>
      <w:r w:rsidR="001027BE">
        <w:rPr>
          <w:lang w:val="fr-CA"/>
        </w:rPr>
        <w:t>’</w:t>
      </w:r>
      <w:r w:rsidRPr="003B3B8E">
        <w:rPr>
          <w:lang w:val="fr-CA"/>
        </w:rPr>
        <w:t>ombrage pour réduire la luminosité excessive et l</w:t>
      </w:r>
      <w:r w:rsidR="001027BE">
        <w:rPr>
          <w:lang w:val="fr-CA"/>
        </w:rPr>
        <w:t>’</w:t>
      </w:r>
      <w:r w:rsidRPr="003B3B8E">
        <w:rPr>
          <w:lang w:val="fr-CA"/>
        </w:rPr>
        <w:t>éblouissement réfléchi des fenêtres;</w:t>
      </w:r>
    </w:p>
    <w:p w14:paraId="0E58D766" w14:textId="29AB769E" w:rsidR="00E56CBB" w:rsidRPr="003B3B8E" w:rsidRDefault="00E56CBB" w:rsidP="003F66F0">
      <w:pPr>
        <w:pStyle w:val="ListRef"/>
        <w:numPr>
          <w:ilvl w:val="0"/>
          <w:numId w:val="14"/>
        </w:numPr>
        <w:rPr>
          <w:lang w:val="fr-CA"/>
        </w:rPr>
      </w:pPr>
      <w:proofErr w:type="gramStart"/>
      <w:r w:rsidRPr="003B3B8E">
        <w:rPr>
          <w:lang w:val="fr-CA"/>
        </w:rPr>
        <w:t>éviter</w:t>
      </w:r>
      <w:proofErr w:type="gramEnd"/>
      <w:r w:rsidRPr="003B3B8E">
        <w:rPr>
          <w:lang w:val="fr-CA"/>
        </w:rPr>
        <w:t xml:space="preserve"> de placer des sources de lumière (naturelles ou artificielles) au bout des corridors ou derrière les personnes dans les aires d</w:t>
      </w:r>
      <w:r w:rsidR="001027BE">
        <w:rPr>
          <w:lang w:val="fr-CA"/>
        </w:rPr>
        <w:t>’</w:t>
      </w:r>
      <w:r w:rsidRPr="003B3B8E">
        <w:rPr>
          <w:lang w:val="fr-CA"/>
        </w:rPr>
        <w:t>accueil ou les comptoirs;</w:t>
      </w:r>
    </w:p>
    <w:p w14:paraId="0E639C93" w14:textId="6EA19DBC" w:rsidR="003D4849" w:rsidRPr="003B3B8E" w:rsidRDefault="00E56CBB" w:rsidP="003F66F0">
      <w:pPr>
        <w:pStyle w:val="ListRef"/>
        <w:numPr>
          <w:ilvl w:val="0"/>
          <w:numId w:val="14"/>
        </w:numPr>
        <w:rPr>
          <w:lang w:val="fr-CA"/>
        </w:rPr>
      </w:pPr>
      <w:proofErr w:type="gramStart"/>
      <w:r w:rsidRPr="003B3B8E">
        <w:rPr>
          <w:lang w:val="fr-CA"/>
        </w:rPr>
        <w:t>soutenir</w:t>
      </w:r>
      <w:proofErr w:type="gramEnd"/>
      <w:r w:rsidRPr="003B3B8E">
        <w:rPr>
          <w:lang w:val="fr-CA"/>
        </w:rPr>
        <w:t xml:space="preserve"> les tâches visuelles, telles que l</w:t>
      </w:r>
      <w:r w:rsidR="001027BE">
        <w:rPr>
          <w:lang w:val="fr-CA"/>
        </w:rPr>
        <w:t>’</w:t>
      </w:r>
      <w:r w:rsidRPr="003B3B8E">
        <w:rPr>
          <w:lang w:val="fr-CA"/>
        </w:rPr>
        <w:t>identification des dangers, la lecture des panneaux, la navigation dans les espaces et l</w:t>
      </w:r>
      <w:r w:rsidR="001027BE">
        <w:rPr>
          <w:lang w:val="fr-CA"/>
        </w:rPr>
        <w:t>’</w:t>
      </w:r>
      <w:r w:rsidRPr="003B3B8E">
        <w:rPr>
          <w:lang w:val="fr-CA"/>
        </w:rPr>
        <w:t>interprétation de la langue des signes; et</w:t>
      </w:r>
    </w:p>
    <w:p w14:paraId="20A633F6" w14:textId="41999C95" w:rsidR="00E56CBB" w:rsidRPr="0024615E" w:rsidRDefault="00E56CBB" w:rsidP="003F66F0">
      <w:pPr>
        <w:pStyle w:val="ListRef"/>
        <w:numPr>
          <w:ilvl w:val="0"/>
          <w:numId w:val="14"/>
        </w:numPr>
        <w:rPr>
          <w:lang w:val="fr-CA"/>
        </w:rPr>
      </w:pPr>
      <w:proofErr w:type="gramStart"/>
      <w:r w:rsidRPr="003B3B8E">
        <w:rPr>
          <w:lang w:val="fr-CA"/>
        </w:rPr>
        <w:lastRenderedPageBreak/>
        <w:t>permettre</w:t>
      </w:r>
      <w:proofErr w:type="gramEnd"/>
      <w:r w:rsidRPr="003B3B8E">
        <w:rPr>
          <w:lang w:val="fr-CA"/>
        </w:rPr>
        <w:t xml:space="preserve"> une qualité d</w:t>
      </w:r>
      <w:r w:rsidR="001027BE">
        <w:rPr>
          <w:lang w:val="fr-CA"/>
        </w:rPr>
        <w:t>’</w:t>
      </w:r>
      <w:r w:rsidRPr="003B3B8E">
        <w:rPr>
          <w:lang w:val="fr-CA"/>
        </w:rPr>
        <w:t>éclairage aussi proche que possible d</w:t>
      </w:r>
      <w:r w:rsidR="001027BE">
        <w:rPr>
          <w:lang w:val="fr-CA"/>
        </w:rPr>
        <w:t>’</w:t>
      </w:r>
      <w:r w:rsidRPr="003B3B8E">
        <w:rPr>
          <w:lang w:val="fr-CA"/>
        </w:rPr>
        <w:t>un spectre complet afin d</w:t>
      </w:r>
      <w:r w:rsidR="001027BE">
        <w:rPr>
          <w:lang w:val="fr-CA"/>
        </w:rPr>
        <w:t>’</w:t>
      </w:r>
      <w:r w:rsidRPr="003B3B8E">
        <w:rPr>
          <w:lang w:val="fr-CA"/>
        </w:rPr>
        <w:t>aider à identifier les contours et les contrastes de couleur utilisés comme indices d</w:t>
      </w:r>
      <w:r w:rsidR="004526C7">
        <w:rPr>
          <w:lang w:val="fr-CA"/>
        </w:rPr>
        <w:t>’</w:t>
      </w:r>
      <w:r w:rsidR="0024615E">
        <w:rPr>
          <w:lang w:val="fr-CA"/>
        </w:rPr>
        <w:t>orientation</w:t>
      </w:r>
      <w:r w:rsidRPr="0024615E">
        <w:rPr>
          <w:lang w:val="fr-CA"/>
        </w:rPr>
        <w:t xml:space="preserve"> (ce qui garantit que l</w:t>
      </w:r>
      <w:r w:rsidR="001027BE">
        <w:rPr>
          <w:lang w:val="fr-CA"/>
        </w:rPr>
        <w:t>’</w:t>
      </w:r>
      <w:r w:rsidRPr="0024615E">
        <w:rPr>
          <w:lang w:val="fr-CA"/>
        </w:rPr>
        <w:t>extrémité chaude du spectre offre une définition appropriée des couleurs).</w:t>
      </w:r>
    </w:p>
    <w:p w14:paraId="4EC4876D" w14:textId="3D004088" w:rsidR="00F824CE" w:rsidRDefault="003C51E0" w:rsidP="003C51E0">
      <w:pPr>
        <w:pStyle w:val="Heading4"/>
      </w:pPr>
      <w:r>
        <w:t xml:space="preserve">Luminaires </w:t>
      </w:r>
      <w:proofErr w:type="spellStart"/>
      <w:r>
        <w:t>intérieurs</w:t>
      </w:r>
      <w:proofErr w:type="spellEnd"/>
    </w:p>
    <w:p w14:paraId="579C8C3D" w14:textId="56B8BF5A" w:rsidR="003C51E0" w:rsidRPr="00C21CFF" w:rsidRDefault="003C51E0" w:rsidP="003C51E0">
      <w:pPr>
        <w:rPr>
          <w:lang w:val="fr-CA"/>
        </w:rPr>
      </w:pPr>
      <w:r w:rsidRPr="00C21CFF">
        <w:rPr>
          <w:lang w:val="fr-CA"/>
        </w:rPr>
        <w:t>Les luminaires intérieurs qui éclairent spécifiquement les éléments d</w:t>
      </w:r>
      <w:r w:rsidR="001027BE">
        <w:rPr>
          <w:lang w:val="fr-CA"/>
        </w:rPr>
        <w:t>’</w:t>
      </w:r>
      <w:r w:rsidRPr="00C21CFF">
        <w:rPr>
          <w:lang w:val="fr-CA"/>
        </w:rPr>
        <w:t>orientation doivent</w:t>
      </w:r>
      <w:r w:rsidR="00BB3D95">
        <w:rPr>
          <w:lang w:val="fr-CA"/>
        </w:rPr>
        <w:t> </w:t>
      </w:r>
      <w:r w:rsidRPr="00C21CFF">
        <w:rPr>
          <w:lang w:val="fr-CA"/>
        </w:rPr>
        <w:t>:</w:t>
      </w:r>
    </w:p>
    <w:p w14:paraId="2BBCD6EE" w14:textId="63C650E9" w:rsidR="003C51E0" w:rsidRPr="00C21CFF" w:rsidRDefault="003C51E0" w:rsidP="003F66F0">
      <w:pPr>
        <w:pStyle w:val="ListRef"/>
        <w:numPr>
          <w:ilvl w:val="0"/>
          <w:numId w:val="15"/>
        </w:numPr>
        <w:rPr>
          <w:lang w:val="fr-CA"/>
        </w:rPr>
      </w:pPr>
      <w:proofErr w:type="gramStart"/>
      <w:r w:rsidRPr="00C21CFF">
        <w:rPr>
          <w:lang w:val="fr-CA"/>
        </w:rPr>
        <w:t>être</w:t>
      </w:r>
      <w:proofErr w:type="gramEnd"/>
      <w:r w:rsidRPr="00C21CFF">
        <w:rPr>
          <w:lang w:val="fr-CA"/>
        </w:rPr>
        <w:t xml:space="preserve"> sélectionné</w:t>
      </w:r>
      <w:r w:rsidR="00DE3CC2">
        <w:rPr>
          <w:lang w:val="fr-CA"/>
        </w:rPr>
        <w:t>s</w:t>
      </w:r>
      <w:r w:rsidRPr="00C21CFF">
        <w:rPr>
          <w:lang w:val="fr-CA"/>
        </w:rPr>
        <w:t xml:space="preserve"> avec des diffuseurs, des lentilles ou des sources lumineuses encastrées, afin de créer un minimum d</w:t>
      </w:r>
      <w:r w:rsidR="001027BE">
        <w:rPr>
          <w:lang w:val="fr-CA"/>
        </w:rPr>
        <w:t>’</w:t>
      </w:r>
      <w:r w:rsidRPr="00C21CFF">
        <w:rPr>
          <w:lang w:val="fr-CA"/>
        </w:rPr>
        <w:t>éblouissement;</w:t>
      </w:r>
    </w:p>
    <w:p w14:paraId="326F26A3" w14:textId="2804E95C" w:rsidR="00E7580A" w:rsidRDefault="009208EE" w:rsidP="003F66F0">
      <w:pPr>
        <w:pStyle w:val="ListRef"/>
        <w:numPr>
          <w:ilvl w:val="0"/>
          <w:numId w:val="15"/>
        </w:numPr>
        <w:rPr>
          <w:lang w:val="fr-CA"/>
        </w:rPr>
      </w:pPr>
      <w:proofErr w:type="gramStart"/>
      <w:r>
        <w:rPr>
          <w:lang w:val="fr-CA"/>
        </w:rPr>
        <w:t>p</w:t>
      </w:r>
      <w:r w:rsidR="003C51E0" w:rsidRPr="00A6732D">
        <w:rPr>
          <w:lang w:val="fr-CA"/>
        </w:rPr>
        <w:t>our</w:t>
      </w:r>
      <w:proofErr w:type="gramEnd"/>
      <w:r w:rsidR="003C51E0" w:rsidRPr="00A6732D">
        <w:rPr>
          <w:lang w:val="fr-CA"/>
        </w:rPr>
        <w:t xml:space="preserve"> les luminaires fluorescents de plafond installés en dessous de 2440</w:t>
      </w:r>
      <w:r w:rsidR="00FA4FCB">
        <w:rPr>
          <w:lang w:val="fr-CA"/>
        </w:rPr>
        <w:t> </w:t>
      </w:r>
      <w:r w:rsidR="003C51E0" w:rsidRPr="00A6732D">
        <w:rPr>
          <w:lang w:val="fr-CA"/>
        </w:rPr>
        <w:t>mm</w:t>
      </w:r>
      <w:r w:rsidR="00E7580A">
        <w:rPr>
          <w:lang w:val="fr-CA"/>
        </w:rPr>
        <w:t> :</w:t>
      </w:r>
    </w:p>
    <w:p w14:paraId="12C96087" w14:textId="77777777" w:rsidR="00404CD9" w:rsidRDefault="003C51E0" w:rsidP="003F66F0">
      <w:pPr>
        <w:pStyle w:val="ListRef"/>
        <w:numPr>
          <w:ilvl w:val="1"/>
          <w:numId w:val="15"/>
        </w:numPr>
        <w:rPr>
          <w:lang w:val="fr-CA"/>
        </w:rPr>
      </w:pPr>
      <w:proofErr w:type="gramStart"/>
      <w:r w:rsidRPr="00A6732D">
        <w:rPr>
          <w:lang w:val="fr-CA"/>
        </w:rPr>
        <w:t>utilise</w:t>
      </w:r>
      <w:r w:rsidR="00305EF5">
        <w:rPr>
          <w:lang w:val="fr-CA"/>
        </w:rPr>
        <w:t>r</w:t>
      </w:r>
      <w:proofErr w:type="gramEnd"/>
      <w:r w:rsidRPr="00A6732D">
        <w:rPr>
          <w:lang w:val="fr-CA"/>
        </w:rPr>
        <w:t xml:space="preserve"> des côtés assombris (</w:t>
      </w:r>
      <w:r w:rsidR="00E0312D" w:rsidRPr="00E0312D">
        <w:rPr>
          <w:lang w:val="fr-CA"/>
        </w:rPr>
        <w:t>c</w:t>
      </w:r>
      <w:r w:rsidR="00E0312D">
        <w:rPr>
          <w:lang w:val="fr-CA"/>
        </w:rPr>
        <w:t>.-à-d.</w:t>
      </w:r>
      <w:r w:rsidRPr="00A6732D">
        <w:rPr>
          <w:lang w:val="fr-CA"/>
        </w:rPr>
        <w:t xml:space="preserve"> </w:t>
      </w:r>
      <w:r w:rsidR="00E0312D">
        <w:rPr>
          <w:lang w:val="fr-CA"/>
        </w:rPr>
        <w:t>pas</w:t>
      </w:r>
      <w:r w:rsidRPr="00A6732D">
        <w:rPr>
          <w:lang w:val="fr-CA"/>
        </w:rPr>
        <w:t xml:space="preserve"> des lentilles enveloppantes)</w:t>
      </w:r>
      <w:r w:rsidR="00404CD9">
        <w:rPr>
          <w:lang w:val="fr-CA"/>
        </w:rPr>
        <w:t>;</w:t>
      </w:r>
      <w:r w:rsidRPr="00A6732D">
        <w:rPr>
          <w:lang w:val="fr-CA"/>
        </w:rPr>
        <w:t xml:space="preserve"> et </w:t>
      </w:r>
    </w:p>
    <w:p w14:paraId="068E28FA" w14:textId="2202D4D1" w:rsidR="003C51E0" w:rsidRPr="00A6732D" w:rsidRDefault="00305EF5" w:rsidP="003F66F0">
      <w:pPr>
        <w:pStyle w:val="ListRef"/>
        <w:numPr>
          <w:ilvl w:val="1"/>
          <w:numId w:val="15"/>
        </w:numPr>
        <w:rPr>
          <w:lang w:val="fr-CA"/>
        </w:rPr>
      </w:pPr>
      <w:proofErr w:type="gramStart"/>
      <w:r>
        <w:rPr>
          <w:lang w:val="fr-CA"/>
        </w:rPr>
        <w:t>les</w:t>
      </w:r>
      <w:proofErr w:type="gramEnd"/>
      <w:r>
        <w:rPr>
          <w:lang w:val="fr-CA"/>
        </w:rPr>
        <w:t xml:space="preserve"> </w:t>
      </w:r>
      <w:r w:rsidR="003C51E0" w:rsidRPr="00A6732D">
        <w:rPr>
          <w:lang w:val="fr-CA"/>
        </w:rPr>
        <w:t>positionne</w:t>
      </w:r>
      <w:r>
        <w:rPr>
          <w:lang w:val="fr-CA"/>
        </w:rPr>
        <w:t xml:space="preserve">r </w:t>
      </w:r>
      <w:r w:rsidR="003C51E0" w:rsidRPr="00A6732D">
        <w:rPr>
          <w:lang w:val="fr-CA"/>
        </w:rPr>
        <w:t xml:space="preserve">perpendiculairement à la direction dominante de déplacement, ou comme un éclairage </w:t>
      </w:r>
      <w:r w:rsidR="00A56016">
        <w:rPr>
          <w:lang w:val="fr-CA"/>
        </w:rPr>
        <w:t>en corniche</w:t>
      </w:r>
      <w:r w:rsidR="003C51E0" w:rsidRPr="00A6732D">
        <w:rPr>
          <w:lang w:val="fr-CA"/>
        </w:rPr>
        <w:t xml:space="preserve"> long du périmètre d</w:t>
      </w:r>
      <w:r w:rsidR="001027BE">
        <w:rPr>
          <w:lang w:val="fr-CA"/>
        </w:rPr>
        <w:t>’</w:t>
      </w:r>
      <w:r w:rsidR="003C51E0" w:rsidRPr="00A6732D">
        <w:rPr>
          <w:lang w:val="fr-CA"/>
        </w:rPr>
        <w:t>un espace pour créer un éclairage indirect; et</w:t>
      </w:r>
    </w:p>
    <w:p w14:paraId="16C6C15C" w14:textId="7ADDB07E" w:rsidR="003C51E0" w:rsidRPr="00A6732D" w:rsidRDefault="0019233D" w:rsidP="003F66F0">
      <w:pPr>
        <w:pStyle w:val="ListRef"/>
        <w:numPr>
          <w:ilvl w:val="0"/>
          <w:numId w:val="15"/>
        </w:numPr>
        <w:rPr>
          <w:lang w:val="fr-CA"/>
        </w:rPr>
      </w:pPr>
      <w:proofErr w:type="gramStart"/>
      <w:r>
        <w:rPr>
          <w:lang w:val="fr-CA"/>
        </w:rPr>
        <w:t>é</w:t>
      </w:r>
      <w:r w:rsidRPr="00A6732D">
        <w:rPr>
          <w:lang w:val="fr-CA"/>
        </w:rPr>
        <w:t>vite</w:t>
      </w:r>
      <w:r>
        <w:rPr>
          <w:lang w:val="fr-CA"/>
        </w:rPr>
        <w:t>r</w:t>
      </w:r>
      <w:proofErr w:type="gramEnd"/>
      <w:r w:rsidR="003C51E0" w:rsidRPr="00A6732D">
        <w:rPr>
          <w:lang w:val="fr-CA"/>
        </w:rPr>
        <w:t xml:space="preserve"> </w:t>
      </w:r>
      <w:r w:rsidR="00F805F8">
        <w:rPr>
          <w:lang w:val="fr-CA"/>
        </w:rPr>
        <w:t>ceux</w:t>
      </w:r>
      <w:r w:rsidR="0051770C">
        <w:rPr>
          <w:lang w:val="fr-CA"/>
        </w:rPr>
        <w:t xml:space="preserve"> qui comportent</w:t>
      </w:r>
      <w:r w:rsidR="00321BF2">
        <w:rPr>
          <w:lang w:val="fr-CA"/>
        </w:rPr>
        <w:t xml:space="preserve"> </w:t>
      </w:r>
      <w:r w:rsidR="009840D5">
        <w:rPr>
          <w:lang w:val="fr-CA"/>
        </w:rPr>
        <w:t>plusieurs</w:t>
      </w:r>
      <w:r w:rsidR="009664F8">
        <w:rPr>
          <w:lang w:val="fr-CA"/>
        </w:rPr>
        <w:t xml:space="preserve"> points lumineux</w:t>
      </w:r>
      <w:r w:rsidR="009840D5">
        <w:rPr>
          <w:lang w:val="fr-CA"/>
        </w:rPr>
        <w:t xml:space="preserve"> </w:t>
      </w:r>
      <w:r w:rsidR="003C51E0" w:rsidRPr="00A6732D">
        <w:rPr>
          <w:lang w:val="fr-CA"/>
        </w:rPr>
        <w:t>qui entraînent une illumination à haute intensité.</w:t>
      </w:r>
    </w:p>
    <w:p w14:paraId="61F4A549" w14:textId="23F598C2" w:rsidR="003C51E0" w:rsidRPr="00A6732D" w:rsidRDefault="00B675EB" w:rsidP="009840D5">
      <w:pPr>
        <w:ind w:left="993"/>
        <w:rPr>
          <w:lang w:val="fr-CA"/>
        </w:rPr>
      </w:pPr>
      <w:r>
        <w:rPr>
          <w:rStyle w:val="EmphasisUseSparingly"/>
          <w:lang w:val="fr-CA"/>
        </w:rPr>
        <w:t>Remarque</w:t>
      </w:r>
      <w:r w:rsidR="00BB3D95">
        <w:rPr>
          <w:rStyle w:val="EmphasisUseSparingly"/>
          <w:lang w:val="fr-CA"/>
        </w:rPr>
        <w:t> </w:t>
      </w:r>
      <w:r w:rsidR="003C51E0" w:rsidRPr="00A6732D">
        <w:rPr>
          <w:lang w:val="fr-CA"/>
        </w:rPr>
        <w:t xml:space="preserve">: </w:t>
      </w:r>
      <w:r w:rsidR="00FF2F60">
        <w:rPr>
          <w:lang w:val="fr-CA"/>
        </w:rPr>
        <w:t>Les l</w:t>
      </w:r>
      <w:r w:rsidR="003C51E0" w:rsidRPr="00A6732D">
        <w:rPr>
          <w:lang w:val="fr-CA"/>
        </w:rPr>
        <w:t>uminaires à point</w:t>
      </w:r>
      <w:r w:rsidR="00FF2F60">
        <w:rPr>
          <w:lang w:val="fr-CA"/>
        </w:rPr>
        <w:t>s</w:t>
      </w:r>
      <w:r w:rsidR="003C51E0" w:rsidRPr="00A6732D">
        <w:rPr>
          <w:lang w:val="fr-CA"/>
        </w:rPr>
        <w:t xml:space="preserve"> lumineux </w:t>
      </w:r>
      <w:r w:rsidR="00FF2F60">
        <w:rPr>
          <w:lang w:val="fr-CA"/>
        </w:rPr>
        <w:t xml:space="preserve">multiples </w:t>
      </w:r>
      <w:r w:rsidR="003C51E0" w:rsidRPr="00A6732D">
        <w:rPr>
          <w:lang w:val="fr-CA"/>
        </w:rPr>
        <w:t>accentuent souvent l</w:t>
      </w:r>
      <w:r w:rsidR="001027BE">
        <w:rPr>
          <w:lang w:val="fr-CA"/>
        </w:rPr>
        <w:t>’</w:t>
      </w:r>
      <w:r w:rsidR="003C51E0" w:rsidRPr="00A6732D">
        <w:rPr>
          <w:lang w:val="fr-CA"/>
        </w:rPr>
        <w:t>éblouissement inutile et laissent une image résiduelle sur la rétine des personnes ayant une vision réduite.</w:t>
      </w:r>
    </w:p>
    <w:p w14:paraId="3751C919" w14:textId="2DDF552C" w:rsidR="003C51E0" w:rsidRDefault="00476EBE" w:rsidP="00476EBE">
      <w:pPr>
        <w:pStyle w:val="Heading3"/>
      </w:pPr>
      <w:bookmarkStart w:id="564" w:name="_Exterior_lighting"/>
      <w:bookmarkStart w:id="565" w:name="_Toc219706193"/>
      <w:bookmarkEnd w:id="564"/>
      <w:proofErr w:type="spellStart"/>
      <w:r>
        <w:lastRenderedPageBreak/>
        <w:t>Éclairage</w:t>
      </w:r>
      <w:proofErr w:type="spellEnd"/>
      <w:r>
        <w:t xml:space="preserve"> </w:t>
      </w:r>
      <w:proofErr w:type="spellStart"/>
      <w:r>
        <w:t>extérieur</w:t>
      </w:r>
      <w:bookmarkEnd w:id="565"/>
      <w:proofErr w:type="spellEnd"/>
    </w:p>
    <w:p w14:paraId="6A5C510C" w14:textId="01F782A3" w:rsidR="00F65CA8" w:rsidRDefault="00CA3A88" w:rsidP="00707647">
      <w:pPr>
        <w:rPr>
          <w:lang w:val="fr-CA"/>
        </w:rPr>
      </w:pPr>
      <w:r w:rsidRPr="00CE5187">
        <w:rPr>
          <w:lang w:val="fr-CA"/>
        </w:rPr>
        <w:t>L</w:t>
      </w:r>
      <w:r w:rsidR="001027BE">
        <w:rPr>
          <w:lang w:val="fr-CA"/>
        </w:rPr>
        <w:t>’</w:t>
      </w:r>
      <w:r w:rsidRPr="00CE5187">
        <w:rPr>
          <w:lang w:val="fr-CA"/>
        </w:rPr>
        <w:t xml:space="preserve">éclairage extérieur présente des défis supplémentaires en raison des changements de lumière naturelle qui dépendent des conditions météorologiques. Les mesures ci-dessous sont conçues pour fournir des </w:t>
      </w:r>
      <w:r w:rsidR="00F65CA8">
        <w:rPr>
          <w:lang w:val="fr-CA"/>
        </w:rPr>
        <w:t>directives</w:t>
      </w:r>
      <w:r w:rsidRPr="00CE5187">
        <w:rPr>
          <w:lang w:val="fr-CA"/>
        </w:rPr>
        <w:t xml:space="preserve"> pour une visibilité et </w:t>
      </w:r>
      <w:proofErr w:type="gramStart"/>
      <w:r w:rsidRPr="00CE5187">
        <w:rPr>
          <w:lang w:val="fr-CA"/>
        </w:rPr>
        <w:t>une navigation optimales</w:t>
      </w:r>
      <w:proofErr w:type="gramEnd"/>
      <w:r w:rsidRPr="00CE5187">
        <w:rPr>
          <w:lang w:val="fr-CA"/>
        </w:rPr>
        <w:t>.</w:t>
      </w:r>
    </w:p>
    <w:p w14:paraId="690900E7" w14:textId="1FFAA9C9" w:rsidR="00CA3A88" w:rsidRDefault="00CA3A88" w:rsidP="00CA3A88">
      <w:proofErr w:type="spellStart"/>
      <w:r>
        <w:t>L</w:t>
      </w:r>
      <w:r w:rsidR="001027BE">
        <w:t>’</w:t>
      </w:r>
      <w:r>
        <w:t>éclairage</w:t>
      </w:r>
      <w:proofErr w:type="spellEnd"/>
      <w:r>
        <w:t xml:space="preserve"> </w:t>
      </w:r>
      <w:proofErr w:type="spellStart"/>
      <w:r>
        <w:t>extérieur</w:t>
      </w:r>
      <w:proofErr w:type="spellEnd"/>
      <w:r>
        <w:t xml:space="preserve"> </w:t>
      </w:r>
      <w:proofErr w:type="gramStart"/>
      <w:r>
        <w:t>doit</w:t>
      </w:r>
      <w:r w:rsidR="00BB3D95">
        <w:t> </w:t>
      </w:r>
      <w:r>
        <w:t>:</w:t>
      </w:r>
      <w:proofErr w:type="gramEnd"/>
    </w:p>
    <w:p w14:paraId="19748ADE" w14:textId="47860A2A" w:rsidR="00CA3A88" w:rsidRPr="00912DB8" w:rsidRDefault="00CA3A88" w:rsidP="003F66F0">
      <w:pPr>
        <w:pStyle w:val="ListRef"/>
        <w:numPr>
          <w:ilvl w:val="0"/>
          <w:numId w:val="16"/>
        </w:numPr>
        <w:rPr>
          <w:lang w:val="fr-CA"/>
        </w:rPr>
      </w:pPr>
      <w:proofErr w:type="gramStart"/>
      <w:r w:rsidRPr="00912DB8">
        <w:rPr>
          <w:lang w:val="fr-CA"/>
        </w:rPr>
        <w:t>maintenir</w:t>
      </w:r>
      <w:proofErr w:type="gramEnd"/>
      <w:r w:rsidRPr="00912DB8">
        <w:rPr>
          <w:lang w:val="fr-CA"/>
        </w:rPr>
        <w:t xml:space="preserve"> des niveaux d</w:t>
      </w:r>
      <w:r w:rsidR="001027BE">
        <w:rPr>
          <w:lang w:val="fr-CA"/>
        </w:rPr>
        <w:t>’</w:t>
      </w:r>
      <w:r w:rsidRPr="00912DB8">
        <w:rPr>
          <w:lang w:val="fr-CA"/>
        </w:rPr>
        <w:t>éclairage de 50</w:t>
      </w:r>
      <w:r w:rsidR="00FA4FCB">
        <w:rPr>
          <w:lang w:val="fr-CA"/>
        </w:rPr>
        <w:t> </w:t>
      </w:r>
      <w:r w:rsidRPr="00912DB8">
        <w:rPr>
          <w:lang w:val="fr-CA"/>
        </w:rPr>
        <w:t xml:space="preserve">lx sur les voies de circulation fréquemment utilisées, y compris </w:t>
      </w:r>
      <w:r w:rsidR="00EA6482" w:rsidRPr="00EA6482">
        <w:rPr>
          <w:lang w:val="fr-CA"/>
        </w:rPr>
        <w:t>les allées piétonnières</w:t>
      </w:r>
      <w:r w:rsidRPr="00912DB8">
        <w:rPr>
          <w:lang w:val="fr-CA"/>
        </w:rPr>
        <w:t>, l</w:t>
      </w:r>
      <w:r w:rsidR="00E6483D">
        <w:rPr>
          <w:lang w:val="fr-CA"/>
        </w:rPr>
        <w:t>es voies de circulation</w:t>
      </w:r>
      <w:r w:rsidRPr="00912DB8">
        <w:rPr>
          <w:lang w:val="fr-CA"/>
        </w:rPr>
        <w:t>, les escaliers et les rampes, mesurés au niveau du sol;</w:t>
      </w:r>
    </w:p>
    <w:p w14:paraId="27001E2C" w14:textId="669CAFD2" w:rsidR="00CA3A88" w:rsidRPr="00912DB8" w:rsidRDefault="00CA3A88" w:rsidP="003F66F0">
      <w:pPr>
        <w:pStyle w:val="ListRef"/>
        <w:numPr>
          <w:ilvl w:val="0"/>
          <w:numId w:val="16"/>
        </w:numPr>
        <w:rPr>
          <w:lang w:val="fr-CA"/>
        </w:rPr>
      </w:pPr>
      <w:proofErr w:type="gramStart"/>
      <w:r w:rsidRPr="00912DB8">
        <w:rPr>
          <w:lang w:val="fr-CA"/>
        </w:rPr>
        <w:t>être</w:t>
      </w:r>
      <w:proofErr w:type="gramEnd"/>
      <w:r w:rsidRPr="00912DB8">
        <w:rPr>
          <w:lang w:val="fr-CA"/>
        </w:rPr>
        <w:t xml:space="preserve"> positionné </w:t>
      </w:r>
      <w:proofErr w:type="gramStart"/>
      <w:r w:rsidRPr="00912DB8">
        <w:rPr>
          <w:lang w:val="fr-CA"/>
        </w:rPr>
        <w:t>de façon à ce</w:t>
      </w:r>
      <w:proofErr w:type="gramEnd"/>
      <w:r w:rsidRPr="00912DB8">
        <w:rPr>
          <w:lang w:val="fr-CA"/>
        </w:rPr>
        <w:t xml:space="preserve"> que tous les rampes, marches et escaliers soient éclairés pour bien définir les surfaces, marches, contremarches, nez et </w:t>
      </w:r>
      <w:r w:rsidR="00453F25">
        <w:rPr>
          <w:lang w:val="fr-CA"/>
        </w:rPr>
        <w:t>les</w:t>
      </w:r>
      <w:r w:rsidR="00B82884">
        <w:rPr>
          <w:lang w:val="fr-CA"/>
        </w:rPr>
        <w:t xml:space="preserve"> mains courantes</w:t>
      </w:r>
      <w:r w:rsidRPr="00912DB8">
        <w:rPr>
          <w:lang w:val="fr-CA"/>
        </w:rPr>
        <w:t>;</w:t>
      </w:r>
    </w:p>
    <w:p w14:paraId="4A924850" w14:textId="5A489117" w:rsidR="00CA3A88" w:rsidRPr="00912DB8" w:rsidRDefault="00CA3A88" w:rsidP="003F66F0">
      <w:pPr>
        <w:pStyle w:val="ListRef"/>
        <w:numPr>
          <w:ilvl w:val="0"/>
          <w:numId w:val="16"/>
        </w:numPr>
        <w:rPr>
          <w:lang w:val="fr-CA"/>
        </w:rPr>
      </w:pPr>
      <w:proofErr w:type="gramStart"/>
      <w:r w:rsidRPr="00912DB8">
        <w:rPr>
          <w:lang w:val="fr-CA"/>
        </w:rPr>
        <w:t>maintenir</w:t>
      </w:r>
      <w:proofErr w:type="gramEnd"/>
      <w:r w:rsidRPr="00912DB8">
        <w:rPr>
          <w:lang w:val="fr-CA"/>
        </w:rPr>
        <w:t xml:space="preserve"> un minimum de 100</w:t>
      </w:r>
      <w:r w:rsidR="00FA4FCB">
        <w:rPr>
          <w:lang w:val="fr-CA"/>
        </w:rPr>
        <w:t> </w:t>
      </w:r>
      <w:r w:rsidR="00912DB8">
        <w:rPr>
          <w:lang w:val="fr-CA"/>
        </w:rPr>
        <w:t>lx</w:t>
      </w:r>
      <w:r w:rsidRPr="00912DB8">
        <w:rPr>
          <w:lang w:val="fr-CA"/>
        </w:rPr>
        <w:t xml:space="preserve"> de façon constante au-dessus des entrées des bâtiments, mesuré</w:t>
      </w:r>
      <w:r w:rsidR="00E34153">
        <w:rPr>
          <w:lang w:val="fr-CA"/>
        </w:rPr>
        <w:t>s</w:t>
      </w:r>
      <w:r w:rsidRPr="00912DB8">
        <w:rPr>
          <w:lang w:val="fr-CA"/>
        </w:rPr>
        <w:t xml:space="preserve"> au niveau du sol; et</w:t>
      </w:r>
    </w:p>
    <w:p w14:paraId="68ED0618" w14:textId="046AD582" w:rsidR="00CA3A88" w:rsidRPr="00912DB8" w:rsidRDefault="00912DB8" w:rsidP="003F66F0">
      <w:pPr>
        <w:pStyle w:val="ListRef"/>
        <w:numPr>
          <w:ilvl w:val="0"/>
          <w:numId w:val="16"/>
        </w:numPr>
        <w:rPr>
          <w:lang w:val="fr-CA"/>
        </w:rPr>
      </w:pPr>
      <w:proofErr w:type="gramStart"/>
      <w:r>
        <w:rPr>
          <w:lang w:val="fr-CA"/>
        </w:rPr>
        <w:t>m</w:t>
      </w:r>
      <w:r w:rsidR="00CA3A88" w:rsidRPr="00912DB8">
        <w:rPr>
          <w:lang w:val="fr-CA"/>
        </w:rPr>
        <w:t>ainten</w:t>
      </w:r>
      <w:r>
        <w:rPr>
          <w:lang w:val="fr-CA"/>
        </w:rPr>
        <w:t>ir</w:t>
      </w:r>
      <w:proofErr w:type="gramEnd"/>
      <w:r w:rsidR="00CA3A88" w:rsidRPr="00912DB8">
        <w:rPr>
          <w:lang w:val="fr-CA"/>
        </w:rPr>
        <w:t xml:space="preserve"> un niveau minimal d</w:t>
      </w:r>
      <w:r w:rsidR="001027BE">
        <w:rPr>
          <w:lang w:val="fr-CA"/>
        </w:rPr>
        <w:t>’</w:t>
      </w:r>
      <w:r w:rsidR="00CA3A88" w:rsidRPr="00912DB8">
        <w:rPr>
          <w:lang w:val="fr-CA"/>
        </w:rPr>
        <w:t>éclairage pour les installations en dehors des heures de jour à 50</w:t>
      </w:r>
      <w:r w:rsidR="00FA4FCB">
        <w:rPr>
          <w:lang w:val="fr-CA"/>
        </w:rPr>
        <w:t> </w:t>
      </w:r>
      <w:r w:rsidR="00CA3A88" w:rsidRPr="00912DB8">
        <w:rPr>
          <w:lang w:val="fr-CA"/>
        </w:rPr>
        <w:t>lx (du crépuscule à l</w:t>
      </w:r>
      <w:r w:rsidR="001027BE">
        <w:rPr>
          <w:lang w:val="fr-CA"/>
        </w:rPr>
        <w:t>’</w:t>
      </w:r>
      <w:r w:rsidR="00CA3A88" w:rsidRPr="00912DB8">
        <w:rPr>
          <w:lang w:val="fr-CA"/>
        </w:rPr>
        <w:t>aube).</w:t>
      </w:r>
    </w:p>
    <w:p w14:paraId="52044C91" w14:textId="17D5F9FE" w:rsidR="003E427C" w:rsidRDefault="00B675EB" w:rsidP="000D427E">
      <w:pPr>
        <w:pStyle w:val="ListRef"/>
        <w:keepLines w:val="0"/>
        <w:widowControl w:val="0"/>
        <w:ind w:left="1843" w:hanging="1843"/>
        <w:contextualSpacing/>
        <w:rPr>
          <w:lang w:val="fr-CA"/>
        </w:rPr>
      </w:pPr>
      <w:r>
        <w:rPr>
          <w:rStyle w:val="EmphasisUseSparingly"/>
          <w:lang w:val="fr-CA"/>
        </w:rPr>
        <w:t>Remarque</w:t>
      </w:r>
      <w:r w:rsidR="003C1DE5">
        <w:rPr>
          <w:rStyle w:val="EmphasisUseSparingly"/>
          <w:lang w:val="fr-CA"/>
        </w:rPr>
        <w:t> </w:t>
      </w:r>
      <w:r w:rsidR="00CA3A88" w:rsidRPr="00912DB8">
        <w:rPr>
          <w:rStyle w:val="EmphasisUseSparingly"/>
          <w:lang w:val="fr-CA"/>
        </w:rPr>
        <w:t>1</w:t>
      </w:r>
      <w:r w:rsidR="00F1547A">
        <w:rPr>
          <w:rStyle w:val="EmphasisUseSparingly"/>
          <w:lang w:val="fr-CA"/>
        </w:rPr>
        <w:t> </w:t>
      </w:r>
      <w:r w:rsidR="00CA3A88" w:rsidRPr="00912DB8">
        <w:rPr>
          <w:rStyle w:val="EmphasisUseSparingly"/>
          <w:lang w:val="fr-CA"/>
        </w:rPr>
        <w:t>:</w:t>
      </w:r>
      <w:r w:rsidR="00CA3A88" w:rsidRPr="00912DB8">
        <w:rPr>
          <w:lang w:val="fr-CA"/>
        </w:rPr>
        <w:t xml:space="preserve"> L</w:t>
      </w:r>
      <w:r w:rsidR="001027BE">
        <w:rPr>
          <w:lang w:val="fr-CA"/>
        </w:rPr>
        <w:t>’</w:t>
      </w:r>
      <w:r w:rsidR="00CA3A88" w:rsidRPr="00912DB8">
        <w:rPr>
          <w:lang w:val="fr-CA"/>
        </w:rPr>
        <w:t>entrée d</w:t>
      </w:r>
      <w:r w:rsidR="001027BE">
        <w:rPr>
          <w:lang w:val="fr-CA"/>
        </w:rPr>
        <w:t>’</w:t>
      </w:r>
      <w:r w:rsidR="00CA3A88" w:rsidRPr="00912DB8">
        <w:rPr>
          <w:lang w:val="fr-CA"/>
        </w:rPr>
        <w:t>un bâtiment est une entrée entre l</w:t>
      </w:r>
      <w:r w:rsidR="001027BE">
        <w:rPr>
          <w:lang w:val="fr-CA"/>
        </w:rPr>
        <w:t>’</w:t>
      </w:r>
      <w:r w:rsidR="00CA3A88" w:rsidRPr="00912DB8">
        <w:rPr>
          <w:lang w:val="fr-CA"/>
        </w:rPr>
        <w:t>intérieur et</w:t>
      </w:r>
    </w:p>
    <w:p w14:paraId="680FA92C" w14:textId="3412D8D4" w:rsidR="00CA3A88" w:rsidRPr="003E427C" w:rsidRDefault="00CA3A88" w:rsidP="000D427E">
      <w:pPr>
        <w:pStyle w:val="ListRef"/>
        <w:keepLines w:val="0"/>
        <w:widowControl w:val="0"/>
        <w:ind w:left="1843" w:hanging="1843"/>
        <w:contextualSpacing/>
        <w:rPr>
          <w:rStyle w:val="EmphasisUseSparingly"/>
          <w:b w:val="0"/>
          <w:lang w:val="fr-CA"/>
        </w:rPr>
      </w:pPr>
      <w:proofErr w:type="gramStart"/>
      <w:r w:rsidRPr="00912DB8">
        <w:rPr>
          <w:lang w:val="fr-CA"/>
        </w:rPr>
        <w:t>l</w:t>
      </w:r>
      <w:r w:rsidR="001027BE">
        <w:rPr>
          <w:lang w:val="fr-CA"/>
        </w:rPr>
        <w:t>’</w:t>
      </w:r>
      <w:r w:rsidRPr="00912DB8">
        <w:rPr>
          <w:lang w:val="fr-CA"/>
        </w:rPr>
        <w:t>extérieur</w:t>
      </w:r>
      <w:proofErr w:type="gramEnd"/>
      <w:r w:rsidRPr="00912DB8">
        <w:rPr>
          <w:lang w:val="fr-CA"/>
        </w:rPr>
        <w:t>.</w:t>
      </w:r>
    </w:p>
    <w:p w14:paraId="3BD9F0C0" w14:textId="7BE3751C" w:rsidR="00CA3A88" w:rsidRPr="00912DB8" w:rsidRDefault="00B675EB" w:rsidP="00547D27">
      <w:pPr>
        <w:pStyle w:val="ListRef"/>
        <w:ind w:left="0" w:firstLine="0"/>
        <w:rPr>
          <w:lang w:val="fr-CA"/>
        </w:rPr>
      </w:pPr>
      <w:r>
        <w:rPr>
          <w:rStyle w:val="EmphasisUseSparingly"/>
          <w:lang w:val="fr-CA"/>
        </w:rPr>
        <w:t>Remarque</w:t>
      </w:r>
      <w:r w:rsidR="003C1DE5">
        <w:rPr>
          <w:rStyle w:val="EmphasisUseSparingly"/>
          <w:lang w:val="fr-CA"/>
        </w:rPr>
        <w:t> </w:t>
      </w:r>
      <w:r w:rsidR="00CA3A88" w:rsidRPr="00912DB8">
        <w:rPr>
          <w:rStyle w:val="EmphasisUseSparingly"/>
          <w:lang w:val="fr-CA"/>
        </w:rPr>
        <w:t>2</w:t>
      </w:r>
      <w:r w:rsidR="00F1547A">
        <w:rPr>
          <w:rStyle w:val="EmphasisUseSparingly"/>
          <w:lang w:val="fr-CA"/>
        </w:rPr>
        <w:t> </w:t>
      </w:r>
      <w:r w:rsidR="00CA3A88" w:rsidRPr="00912DB8">
        <w:rPr>
          <w:rStyle w:val="EmphasisUseSparingly"/>
          <w:lang w:val="fr-CA"/>
        </w:rPr>
        <w:t xml:space="preserve">: </w:t>
      </w:r>
      <w:r w:rsidR="00CA3A88" w:rsidRPr="00912DB8">
        <w:rPr>
          <w:lang w:val="fr-CA"/>
        </w:rPr>
        <w:t>L</w:t>
      </w:r>
      <w:r w:rsidR="001027BE">
        <w:rPr>
          <w:lang w:val="fr-CA"/>
        </w:rPr>
        <w:t>’</w:t>
      </w:r>
      <w:r w:rsidR="00CA3A88" w:rsidRPr="00912DB8">
        <w:rPr>
          <w:lang w:val="fr-CA"/>
        </w:rPr>
        <w:t>objectif est d</w:t>
      </w:r>
      <w:r w:rsidR="001027BE">
        <w:rPr>
          <w:lang w:val="fr-CA"/>
        </w:rPr>
        <w:t>’</w:t>
      </w:r>
      <w:r w:rsidR="00CA3A88" w:rsidRPr="00912DB8">
        <w:rPr>
          <w:lang w:val="fr-CA"/>
        </w:rPr>
        <w:t>offrir une transition fluide pour permettre aux yeux de s</w:t>
      </w:r>
      <w:r w:rsidR="001027BE">
        <w:rPr>
          <w:lang w:val="fr-CA"/>
        </w:rPr>
        <w:t>’</w:t>
      </w:r>
      <w:r w:rsidR="00CA3A88" w:rsidRPr="00912DB8">
        <w:rPr>
          <w:lang w:val="fr-CA"/>
        </w:rPr>
        <w:t>adapter au changement de niveau d</w:t>
      </w:r>
      <w:r w:rsidR="001027BE">
        <w:rPr>
          <w:lang w:val="fr-CA"/>
        </w:rPr>
        <w:t>’</w:t>
      </w:r>
      <w:r w:rsidR="00CA3A88" w:rsidRPr="00912DB8">
        <w:rPr>
          <w:lang w:val="fr-CA"/>
        </w:rPr>
        <w:t>éclairage entre l</w:t>
      </w:r>
      <w:r w:rsidR="001027BE">
        <w:rPr>
          <w:lang w:val="fr-CA"/>
        </w:rPr>
        <w:t>’</w:t>
      </w:r>
      <w:r w:rsidR="00CA3A88" w:rsidRPr="00912DB8">
        <w:rPr>
          <w:lang w:val="fr-CA"/>
        </w:rPr>
        <w:t>extérieur et l</w:t>
      </w:r>
      <w:r w:rsidR="001027BE">
        <w:rPr>
          <w:lang w:val="fr-CA"/>
        </w:rPr>
        <w:t>’</w:t>
      </w:r>
      <w:r w:rsidR="00CA3A88" w:rsidRPr="00912DB8">
        <w:rPr>
          <w:lang w:val="fr-CA"/>
        </w:rPr>
        <w:t>intérieur.</w:t>
      </w:r>
    </w:p>
    <w:p w14:paraId="3AB08CA9" w14:textId="4126FCD4" w:rsidR="00F90A25" w:rsidRDefault="00E9659B" w:rsidP="00E9659B">
      <w:pPr>
        <w:pStyle w:val="Heading2"/>
      </w:pPr>
      <w:bookmarkStart w:id="566" w:name="_Luminance_contrast"/>
      <w:bookmarkStart w:id="567" w:name="_Toc219706194"/>
      <w:bookmarkEnd w:id="566"/>
      <w:proofErr w:type="spellStart"/>
      <w:r>
        <w:t>Contraste</w:t>
      </w:r>
      <w:proofErr w:type="spellEnd"/>
      <w:r>
        <w:t xml:space="preserve"> de luminance</w:t>
      </w:r>
      <w:bookmarkEnd w:id="567"/>
    </w:p>
    <w:p w14:paraId="2359D8BC" w14:textId="15CC84E3" w:rsidR="006D3F05" w:rsidRPr="00EA1B12" w:rsidRDefault="00263AB3" w:rsidP="006D3F05">
      <w:pPr>
        <w:rPr>
          <w:lang w:val="fr-CA"/>
        </w:rPr>
      </w:pPr>
      <w:bookmarkStart w:id="568" w:name="_Toc205790255"/>
      <w:r w:rsidRPr="00EA1B12">
        <w:rPr>
          <w:rStyle w:val="EmphasisUseSparingly"/>
          <w:lang w:val="fr-CA"/>
        </w:rPr>
        <w:t>Note</w:t>
      </w:r>
      <w:r w:rsidR="00F1547A">
        <w:rPr>
          <w:rStyle w:val="EmphasisUseSparingly"/>
          <w:lang w:val="fr-CA"/>
        </w:rPr>
        <w:t> </w:t>
      </w:r>
      <w:r w:rsidRPr="00EA1B12">
        <w:rPr>
          <w:rStyle w:val="EmphasisUseSparingly"/>
          <w:lang w:val="fr-CA"/>
        </w:rPr>
        <w:t xml:space="preserve">: </w:t>
      </w:r>
      <w:bookmarkEnd w:id="568"/>
      <w:r w:rsidRPr="00EA1B12">
        <w:rPr>
          <w:lang w:val="fr-CA"/>
        </w:rPr>
        <w:t>La valeur de contraste de luminance requise varie selon la tâche visuelle et est influencée par</w:t>
      </w:r>
      <w:r w:rsidR="00F1547A">
        <w:rPr>
          <w:lang w:val="fr-CA"/>
        </w:rPr>
        <w:t> </w:t>
      </w:r>
      <w:r w:rsidRPr="00EA1B12">
        <w:rPr>
          <w:lang w:val="fr-CA"/>
        </w:rPr>
        <w:t>:</w:t>
      </w:r>
    </w:p>
    <w:p w14:paraId="6AC21CA4" w14:textId="2060852E" w:rsidR="006D3F05" w:rsidRPr="00EA1B12" w:rsidRDefault="00D23E2E" w:rsidP="003F66F0">
      <w:pPr>
        <w:pStyle w:val="ListParagraph"/>
        <w:numPr>
          <w:ilvl w:val="0"/>
          <w:numId w:val="17"/>
        </w:numPr>
        <w:rPr>
          <w:lang w:val="fr-CA"/>
        </w:rPr>
      </w:pPr>
      <w:proofErr w:type="gramStart"/>
      <w:r>
        <w:rPr>
          <w:lang w:val="fr-CA"/>
        </w:rPr>
        <w:t>l</w:t>
      </w:r>
      <w:r w:rsidR="00263AB3" w:rsidRPr="00EA1B12">
        <w:rPr>
          <w:lang w:val="fr-CA"/>
        </w:rPr>
        <w:t>a</w:t>
      </w:r>
      <w:proofErr w:type="gramEnd"/>
      <w:r w:rsidR="00263AB3" w:rsidRPr="00EA1B12">
        <w:rPr>
          <w:lang w:val="fr-CA"/>
        </w:rPr>
        <w:t xml:space="preserve"> taille du moindre détail nécessaire pour être reconnu;</w:t>
      </w:r>
    </w:p>
    <w:p w14:paraId="59CB323A" w14:textId="222F7F68" w:rsidR="006D3F05" w:rsidRPr="00EA1B12" w:rsidRDefault="00D23E2E" w:rsidP="003F66F0">
      <w:pPr>
        <w:pStyle w:val="ListParagraph"/>
        <w:numPr>
          <w:ilvl w:val="0"/>
          <w:numId w:val="17"/>
        </w:numPr>
        <w:rPr>
          <w:lang w:val="fr-CA"/>
        </w:rPr>
      </w:pPr>
      <w:proofErr w:type="gramStart"/>
      <w:r>
        <w:rPr>
          <w:lang w:val="fr-CA"/>
        </w:rPr>
        <w:lastRenderedPageBreak/>
        <w:t>l</w:t>
      </w:r>
      <w:r w:rsidR="00263AB3" w:rsidRPr="00EA1B12">
        <w:rPr>
          <w:lang w:val="fr-CA"/>
        </w:rPr>
        <w:t>e</w:t>
      </w:r>
      <w:proofErr w:type="gramEnd"/>
      <w:r w:rsidR="00263AB3" w:rsidRPr="00EA1B12">
        <w:rPr>
          <w:lang w:val="fr-CA"/>
        </w:rPr>
        <w:t xml:space="preserve"> temps disponible pour la détection, comme l</w:t>
      </w:r>
      <w:r w:rsidR="001027BE">
        <w:rPr>
          <w:lang w:val="fr-CA"/>
        </w:rPr>
        <w:t>’</w:t>
      </w:r>
      <w:r w:rsidR="00263AB3" w:rsidRPr="00EA1B12">
        <w:rPr>
          <w:lang w:val="fr-CA"/>
        </w:rPr>
        <w:t>identification immédiate des dangers et des panneaux d</w:t>
      </w:r>
      <w:r w:rsidR="001027BE">
        <w:rPr>
          <w:lang w:val="fr-CA"/>
        </w:rPr>
        <w:t>’</w:t>
      </w:r>
      <w:r w:rsidR="00263AB3" w:rsidRPr="00EA1B12">
        <w:rPr>
          <w:lang w:val="fr-CA"/>
        </w:rPr>
        <w:t>avertissement; et</w:t>
      </w:r>
    </w:p>
    <w:p w14:paraId="0AA7A980" w14:textId="4493B36A" w:rsidR="00263AB3" w:rsidRPr="00EA1B12" w:rsidRDefault="00D23E2E" w:rsidP="003F66F0">
      <w:pPr>
        <w:pStyle w:val="ListParagraph"/>
        <w:numPr>
          <w:ilvl w:val="0"/>
          <w:numId w:val="17"/>
        </w:numPr>
        <w:rPr>
          <w:lang w:val="fr-CA"/>
        </w:rPr>
      </w:pPr>
      <w:proofErr w:type="gramStart"/>
      <w:r>
        <w:rPr>
          <w:lang w:val="fr-CA"/>
        </w:rPr>
        <w:t>l</w:t>
      </w:r>
      <w:r w:rsidR="001027BE">
        <w:rPr>
          <w:lang w:val="fr-CA"/>
        </w:rPr>
        <w:t>’</w:t>
      </w:r>
      <w:r w:rsidR="00263AB3" w:rsidRPr="00EA1B12">
        <w:rPr>
          <w:lang w:val="fr-CA"/>
        </w:rPr>
        <w:t>environnement</w:t>
      </w:r>
      <w:proofErr w:type="gramEnd"/>
      <w:r w:rsidR="00263AB3" w:rsidRPr="00EA1B12">
        <w:rPr>
          <w:lang w:val="fr-CA"/>
        </w:rPr>
        <w:t xml:space="preserve"> d</w:t>
      </w:r>
      <w:r w:rsidR="001027BE">
        <w:rPr>
          <w:lang w:val="fr-CA"/>
        </w:rPr>
        <w:t>’</w:t>
      </w:r>
      <w:r w:rsidR="00263AB3" w:rsidRPr="00EA1B12">
        <w:rPr>
          <w:lang w:val="fr-CA"/>
        </w:rPr>
        <w:t>éclairage, incluant la lumière naturelle, l</w:t>
      </w:r>
      <w:r w:rsidR="001027BE">
        <w:rPr>
          <w:lang w:val="fr-CA"/>
        </w:rPr>
        <w:t>’</w:t>
      </w:r>
      <w:r w:rsidR="00263AB3" w:rsidRPr="00EA1B12">
        <w:rPr>
          <w:lang w:val="fr-CA"/>
        </w:rPr>
        <w:t>éclairage artificiel, ou une combinaison des deux.</w:t>
      </w:r>
    </w:p>
    <w:p w14:paraId="5D1E4314" w14:textId="79792BD5" w:rsidR="00263AB3" w:rsidRPr="00EA1B12" w:rsidRDefault="000F248E" w:rsidP="00263AB3">
      <w:pPr>
        <w:rPr>
          <w:lang w:val="fr-CA"/>
        </w:rPr>
      </w:pPr>
      <w:r>
        <w:rPr>
          <w:lang w:val="fr-CA"/>
        </w:rPr>
        <w:t xml:space="preserve">Il est </w:t>
      </w:r>
      <w:r w:rsidR="00390CF3">
        <w:rPr>
          <w:lang w:val="fr-CA"/>
        </w:rPr>
        <w:t>essentiel de s’as</w:t>
      </w:r>
      <w:r w:rsidR="00263AB3" w:rsidRPr="00EA1B12">
        <w:rPr>
          <w:lang w:val="fr-CA"/>
        </w:rPr>
        <w:t xml:space="preserve">surer </w:t>
      </w:r>
      <w:r w:rsidR="00CF3E08">
        <w:rPr>
          <w:lang w:val="fr-CA"/>
        </w:rPr>
        <w:t>que</w:t>
      </w:r>
      <w:r w:rsidR="00263AB3" w:rsidRPr="00EA1B12">
        <w:rPr>
          <w:lang w:val="fr-CA"/>
        </w:rPr>
        <w:t xml:space="preserve"> </w:t>
      </w:r>
      <w:r w:rsidR="00CF3E08">
        <w:rPr>
          <w:lang w:val="fr-CA"/>
        </w:rPr>
        <w:t>l’</w:t>
      </w:r>
      <w:r w:rsidR="00263AB3" w:rsidRPr="00EA1B12">
        <w:rPr>
          <w:lang w:val="fr-CA"/>
        </w:rPr>
        <w:t xml:space="preserve">éclairage </w:t>
      </w:r>
      <w:r w:rsidR="00CF3E08">
        <w:rPr>
          <w:lang w:val="fr-CA"/>
        </w:rPr>
        <w:t xml:space="preserve">est </w:t>
      </w:r>
      <w:r w:rsidR="00263AB3" w:rsidRPr="00EA1B12">
        <w:rPr>
          <w:lang w:val="fr-CA"/>
        </w:rPr>
        <w:t>adéquat</w:t>
      </w:r>
      <w:r w:rsidR="00CF3E08">
        <w:rPr>
          <w:lang w:val="fr-CA"/>
        </w:rPr>
        <w:t xml:space="preserve"> pour permettre une</w:t>
      </w:r>
      <w:r w:rsidR="00263AB3" w:rsidRPr="003566C2">
        <w:rPr>
          <w:lang w:val="fr-CA"/>
        </w:rPr>
        <w:t xml:space="preserve"> perception efficace du contraste visuel (voir </w:t>
      </w:r>
      <w:r w:rsidR="001E4CB4">
        <w:rPr>
          <w:lang w:val="fr-CA"/>
        </w:rPr>
        <w:t>article</w:t>
      </w:r>
      <w:r w:rsidR="003C1DE5">
        <w:rPr>
          <w:lang w:val="fr-CA"/>
        </w:rPr>
        <w:t> </w:t>
      </w:r>
      <w:r w:rsidR="00637A76">
        <w:fldChar w:fldCharType="begin"/>
      </w:r>
      <w:r w:rsidR="00637A76" w:rsidRPr="007C0FBA">
        <w:rPr>
          <w:lang w:val="fr-CA"/>
        </w:rPr>
        <w:instrText>HYPERLINK \l "_Lighting"</w:instrText>
      </w:r>
      <w:r w:rsidR="00637A76">
        <w:fldChar w:fldCharType="separate"/>
      </w:r>
      <w:r w:rsidR="00637A76">
        <w:rPr>
          <w:rStyle w:val="Hyperlink"/>
          <w:lang w:val="fr-CA"/>
        </w:rPr>
        <w:t>10</w:t>
      </w:r>
      <w:r w:rsidR="00284038" w:rsidRPr="003566C2">
        <w:rPr>
          <w:rStyle w:val="Hyperlink"/>
          <w:lang w:val="fr-CA"/>
        </w:rPr>
        <w:t>.1</w:t>
      </w:r>
      <w:r w:rsidR="00637A76">
        <w:fldChar w:fldCharType="end"/>
      </w:r>
      <w:r w:rsidR="00263AB3" w:rsidRPr="003566C2">
        <w:rPr>
          <w:lang w:val="fr-CA"/>
        </w:rPr>
        <w:t>). Un éclairage suffisant, ainsi que des valeurs minimales de réflectance pour les surfaces plus claires, est nécessaire pour atteindre des niveaux de luminance adéquats pour les surfaces et les éléments du bâtiment, selon la tâche visuelle spécifique. Typiquement, des niveaux d</w:t>
      </w:r>
      <w:r w:rsidR="007F197F">
        <w:rPr>
          <w:lang w:val="fr-CA"/>
        </w:rPr>
        <w:t>’</w:t>
      </w:r>
      <w:r w:rsidR="00263AB3" w:rsidRPr="003566C2">
        <w:rPr>
          <w:lang w:val="fr-CA"/>
        </w:rPr>
        <w:t xml:space="preserve">éclairage plus faibles nécessitent un contraste visuel </w:t>
      </w:r>
      <w:r w:rsidR="00524E59">
        <w:rPr>
          <w:lang w:val="fr-CA"/>
        </w:rPr>
        <w:t xml:space="preserve">accru </w:t>
      </w:r>
      <w:r w:rsidR="008405D5">
        <w:rPr>
          <w:lang w:val="fr-CA"/>
        </w:rPr>
        <w:t>afin</w:t>
      </w:r>
      <w:r w:rsidR="00263AB3" w:rsidRPr="003566C2">
        <w:rPr>
          <w:lang w:val="fr-CA"/>
        </w:rPr>
        <w:t xml:space="preserve"> </w:t>
      </w:r>
      <w:r w:rsidR="008405D5">
        <w:rPr>
          <w:lang w:val="fr-CA"/>
        </w:rPr>
        <w:t>d’</w:t>
      </w:r>
      <w:r w:rsidR="00263AB3" w:rsidRPr="00EA1B12">
        <w:rPr>
          <w:lang w:val="fr-CA"/>
        </w:rPr>
        <w:t xml:space="preserve">améliorer la capacité à percevoir </w:t>
      </w:r>
      <w:r w:rsidR="008405D5">
        <w:rPr>
          <w:lang w:val="fr-CA"/>
        </w:rPr>
        <w:t xml:space="preserve">les </w:t>
      </w:r>
      <w:r w:rsidR="00263AB3" w:rsidRPr="00EA1B12">
        <w:rPr>
          <w:lang w:val="fr-CA"/>
        </w:rPr>
        <w:t>information</w:t>
      </w:r>
      <w:r w:rsidR="008405D5">
        <w:rPr>
          <w:lang w:val="fr-CA"/>
        </w:rPr>
        <w:t>s</w:t>
      </w:r>
      <w:r w:rsidR="00263AB3" w:rsidRPr="00EA1B12">
        <w:rPr>
          <w:lang w:val="fr-CA"/>
        </w:rPr>
        <w:t>, les caractéristiques architecturales et la conception spatiale.</w:t>
      </w:r>
    </w:p>
    <w:p w14:paraId="3CA7C257" w14:textId="1D81FD53" w:rsidR="00027361" w:rsidRDefault="00263AB3" w:rsidP="00D65747">
      <w:pPr>
        <w:rPr>
          <w:lang w:val="fr-CA"/>
        </w:rPr>
      </w:pPr>
      <w:r w:rsidRPr="00EA1B12">
        <w:rPr>
          <w:lang w:val="fr-CA"/>
        </w:rPr>
        <w:t>La capacité de l</w:t>
      </w:r>
      <w:r w:rsidR="007F197F">
        <w:rPr>
          <w:lang w:val="fr-CA"/>
        </w:rPr>
        <w:t>’</w:t>
      </w:r>
      <w:r w:rsidRPr="00EA1B12">
        <w:rPr>
          <w:lang w:val="fr-CA"/>
        </w:rPr>
        <w:t>œil humain à distinguer le contraste s</w:t>
      </w:r>
      <w:r w:rsidR="007F197F">
        <w:rPr>
          <w:lang w:val="fr-CA"/>
        </w:rPr>
        <w:t>’</w:t>
      </w:r>
      <w:r w:rsidRPr="00EA1B12">
        <w:rPr>
          <w:lang w:val="fr-CA"/>
        </w:rPr>
        <w:t xml:space="preserve">améliore avec une luminance plus élevée dans </w:t>
      </w:r>
      <w:r w:rsidR="00CB5A8B">
        <w:rPr>
          <w:lang w:val="fr-CA"/>
        </w:rPr>
        <w:t>le milieu environnant</w:t>
      </w:r>
      <w:r w:rsidRPr="00EA1B12">
        <w:rPr>
          <w:lang w:val="fr-CA"/>
        </w:rPr>
        <w:t>. Les valeurs minimales de contraste de luminance sont déterminées en fonction des conditions d</w:t>
      </w:r>
      <w:r w:rsidR="007F197F">
        <w:rPr>
          <w:lang w:val="fr-CA"/>
        </w:rPr>
        <w:t>’</w:t>
      </w:r>
      <w:r w:rsidRPr="00EA1B12">
        <w:rPr>
          <w:lang w:val="fr-CA"/>
        </w:rPr>
        <w:t>éclairage changeantes à l</w:t>
      </w:r>
      <w:r w:rsidR="007F197F">
        <w:rPr>
          <w:lang w:val="fr-CA"/>
        </w:rPr>
        <w:t>’</w:t>
      </w:r>
      <w:r w:rsidRPr="00EA1B12">
        <w:rPr>
          <w:lang w:val="fr-CA"/>
        </w:rPr>
        <w:t>intérieur des bâtiments, où la lumière artificielle et naturelle interagit, ainsi que dans les environnements extérieurs, où la lumière du jour fluctue tout au long de la journée et d</w:t>
      </w:r>
      <w:r w:rsidR="007F197F">
        <w:rPr>
          <w:lang w:val="fr-CA"/>
        </w:rPr>
        <w:t>’</w:t>
      </w:r>
      <w:r w:rsidRPr="00EA1B12">
        <w:rPr>
          <w:lang w:val="fr-CA"/>
        </w:rPr>
        <w:t>une saison à l</w:t>
      </w:r>
      <w:r w:rsidR="007F197F">
        <w:rPr>
          <w:lang w:val="fr-CA"/>
        </w:rPr>
        <w:t>’</w:t>
      </w:r>
      <w:r w:rsidRPr="00EA1B12">
        <w:rPr>
          <w:lang w:val="fr-CA"/>
        </w:rPr>
        <w:t>autre. Dans la plupart des cas, les personnes ayant peu ou pas de vision des couleurs peuvent tout de même détecter les contrastes de luminance, même si elles ne peuvent pas percevoir la couleur. Les couleurs à l</w:t>
      </w:r>
      <w:r w:rsidR="007F197F">
        <w:rPr>
          <w:lang w:val="fr-CA"/>
        </w:rPr>
        <w:t>’</w:t>
      </w:r>
      <w:r w:rsidRPr="00EA1B12">
        <w:rPr>
          <w:lang w:val="fr-CA"/>
        </w:rPr>
        <w:t>extrémité chaude du spectre (jaune, orange, rouge vif, etc.) sont plus faciles à reconnaître que celles à l</w:t>
      </w:r>
      <w:r w:rsidR="007F197F">
        <w:rPr>
          <w:lang w:val="fr-CA"/>
        </w:rPr>
        <w:t>’</w:t>
      </w:r>
      <w:r w:rsidRPr="00EA1B12">
        <w:rPr>
          <w:lang w:val="fr-CA"/>
        </w:rPr>
        <w:t xml:space="preserve">extrémité froide. </w:t>
      </w:r>
      <w:r w:rsidR="00C13C00">
        <w:rPr>
          <w:lang w:val="fr-CA"/>
        </w:rPr>
        <w:t>V</w:t>
      </w:r>
      <w:r w:rsidRPr="00EA1B12">
        <w:rPr>
          <w:lang w:val="fr-CA"/>
        </w:rPr>
        <w:t xml:space="preserve">oir </w:t>
      </w:r>
      <w:r w:rsidR="00C13C00">
        <w:rPr>
          <w:lang w:val="fr-CA"/>
        </w:rPr>
        <w:t>l’article</w:t>
      </w:r>
      <w:r w:rsidR="003C1DE5">
        <w:rPr>
          <w:lang w:val="fr-CA"/>
        </w:rPr>
        <w:t> </w:t>
      </w:r>
      <w:r w:rsidR="00C00E7E">
        <w:fldChar w:fldCharType="begin"/>
      </w:r>
      <w:r w:rsidR="00C00E7E" w:rsidRPr="007C0FBA">
        <w:rPr>
          <w:lang w:val="fr-CA"/>
        </w:rPr>
        <w:instrText>HYPERLINK \l "_Colour_patterns"</w:instrText>
      </w:r>
      <w:r w:rsidR="00C00E7E">
        <w:fldChar w:fldCharType="separate"/>
      </w:r>
      <w:r w:rsidR="00C00E7E" w:rsidRPr="000E2AAC">
        <w:rPr>
          <w:rStyle w:val="Hyperlink"/>
          <w:lang w:val="fr-CA"/>
        </w:rPr>
        <w:t>1</w:t>
      </w:r>
      <w:r w:rsidR="00291423">
        <w:rPr>
          <w:rStyle w:val="Hyperlink"/>
          <w:lang w:val="fr-CA"/>
        </w:rPr>
        <w:t>0.</w:t>
      </w:r>
      <w:r w:rsidR="00C00E7E" w:rsidRPr="000E2AAC">
        <w:rPr>
          <w:rStyle w:val="Hyperlink"/>
          <w:lang w:val="fr-CA"/>
        </w:rPr>
        <w:t>4</w:t>
      </w:r>
      <w:r w:rsidR="00C00E7E">
        <w:fldChar w:fldCharType="end"/>
      </w:r>
      <w:r w:rsidRPr="000E2AAC">
        <w:rPr>
          <w:lang w:val="fr-CA"/>
        </w:rPr>
        <w:t xml:space="preserve"> pour plus d</w:t>
      </w:r>
      <w:r w:rsidR="007F197F">
        <w:rPr>
          <w:lang w:val="fr-CA"/>
        </w:rPr>
        <w:t>’</w:t>
      </w:r>
      <w:r w:rsidRPr="000E2AAC">
        <w:rPr>
          <w:lang w:val="fr-CA"/>
        </w:rPr>
        <w:t>informations sur les combinaisons de couleurs.</w:t>
      </w:r>
    </w:p>
    <w:p w14:paraId="1EE00C41" w14:textId="77777777" w:rsidR="00027361" w:rsidRDefault="00027361">
      <w:pPr>
        <w:keepLines w:val="0"/>
        <w:spacing w:before="0" w:beforeAutospacing="0" w:line="259" w:lineRule="auto"/>
        <w:rPr>
          <w:lang w:val="fr-CA"/>
        </w:rPr>
      </w:pPr>
      <w:r>
        <w:rPr>
          <w:lang w:val="fr-CA"/>
        </w:rPr>
        <w:br w:type="page"/>
      </w:r>
    </w:p>
    <w:p w14:paraId="5BA8C6B9" w14:textId="48C14F3E" w:rsidR="003052AC" w:rsidRDefault="003052AC" w:rsidP="003052AC">
      <w:pPr>
        <w:pStyle w:val="Heading3"/>
      </w:pPr>
      <w:bookmarkStart w:id="569" w:name="_General_requirements"/>
      <w:bookmarkStart w:id="570" w:name="_Exigences_générales"/>
      <w:bookmarkStart w:id="571" w:name="_Toc219706195"/>
      <w:bookmarkEnd w:id="569"/>
      <w:bookmarkEnd w:id="570"/>
      <w:r>
        <w:lastRenderedPageBreak/>
        <w:t xml:space="preserve">Exigences </w:t>
      </w:r>
      <w:proofErr w:type="spellStart"/>
      <w:r>
        <w:t>générales</w:t>
      </w:r>
      <w:bookmarkEnd w:id="571"/>
      <w:proofErr w:type="spellEnd"/>
    </w:p>
    <w:p w14:paraId="46759A9C" w14:textId="010A91D9" w:rsidR="00DD5AF6" w:rsidRPr="000E2AAC" w:rsidRDefault="00DD5AF6" w:rsidP="00DD5AF6">
      <w:pPr>
        <w:rPr>
          <w:lang w:val="fr-CA"/>
        </w:rPr>
      </w:pPr>
      <w:r w:rsidRPr="000E2AAC">
        <w:rPr>
          <w:lang w:val="fr-CA"/>
        </w:rPr>
        <w:t>L</w:t>
      </w:r>
      <w:r w:rsidR="00820DAA">
        <w:rPr>
          <w:lang w:val="fr-CA"/>
        </w:rPr>
        <w:t>a conception du</w:t>
      </w:r>
      <w:r w:rsidRPr="000E2AAC">
        <w:rPr>
          <w:lang w:val="fr-CA"/>
        </w:rPr>
        <w:t xml:space="preserve"> contraste </w:t>
      </w:r>
      <w:r w:rsidR="00820DAA">
        <w:rPr>
          <w:lang w:val="fr-CA"/>
        </w:rPr>
        <w:t xml:space="preserve">de </w:t>
      </w:r>
      <w:r w:rsidRPr="000E2AAC">
        <w:rPr>
          <w:lang w:val="fr-CA"/>
        </w:rPr>
        <w:t>luminance doit</w:t>
      </w:r>
      <w:r w:rsidR="00F1547A">
        <w:rPr>
          <w:lang w:val="fr-CA"/>
        </w:rPr>
        <w:t> </w:t>
      </w:r>
      <w:r w:rsidRPr="000E2AAC">
        <w:rPr>
          <w:lang w:val="fr-CA"/>
        </w:rPr>
        <w:t>:</w:t>
      </w:r>
    </w:p>
    <w:p w14:paraId="28B930DC" w14:textId="10929899" w:rsidR="00DD5AF6" w:rsidRPr="000E2AAC" w:rsidRDefault="00DD5AF6" w:rsidP="003F66F0">
      <w:pPr>
        <w:pStyle w:val="ListRef"/>
        <w:numPr>
          <w:ilvl w:val="0"/>
          <w:numId w:val="18"/>
        </w:numPr>
        <w:rPr>
          <w:lang w:val="fr-CA"/>
        </w:rPr>
      </w:pPr>
      <w:proofErr w:type="gramStart"/>
      <w:r w:rsidRPr="000E2AAC">
        <w:rPr>
          <w:lang w:val="fr-CA"/>
        </w:rPr>
        <w:t>améliorer</w:t>
      </w:r>
      <w:proofErr w:type="gramEnd"/>
      <w:r w:rsidRPr="000E2AAC">
        <w:rPr>
          <w:lang w:val="fr-CA"/>
        </w:rPr>
        <w:t xml:space="preserve"> l</w:t>
      </w:r>
      <w:r w:rsidR="007F197F">
        <w:rPr>
          <w:lang w:val="fr-CA"/>
        </w:rPr>
        <w:t>’</w:t>
      </w:r>
      <w:r w:rsidRPr="000E2AAC">
        <w:rPr>
          <w:lang w:val="fr-CA"/>
        </w:rPr>
        <w:t xml:space="preserve">orientation en définissant également clairement les jonctions entre murs et planchers, les </w:t>
      </w:r>
      <w:r w:rsidR="00DE6857">
        <w:rPr>
          <w:lang w:val="fr-CA"/>
        </w:rPr>
        <w:t>encastrements</w:t>
      </w:r>
      <w:r w:rsidRPr="000E2AAC">
        <w:rPr>
          <w:lang w:val="fr-CA"/>
        </w:rPr>
        <w:t xml:space="preserve"> de portes et les intersections de corridors en utilisant des matériaux </w:t>
      </w:r>
      <w:r w:rsidR="00893948">
        <w:rPr>
          <w:lang w:val="fr-CA"/>
        </w:rPr>
        <w:t xml:space="preserve">de démarcation </w:t>
      </w:r>
      <w:r w:rsidRPr="000E2AAC">
        <w:rPr>
          <w:lang w:val="fr-CA"/>
        </w:rPr>
        <w:t xml:space="preserve">distincts comme la moquette ou </w:t>
      </w:r>
      <w:r w:rsidR="006E3D6E">
        <w:rPr>
          <w:lang w:val="fr-CA"/>
        </w:rPr>
        <w:t>le</w:t>
      </w:r>
      <w:r w:rsidR="003E4CA1">
        <w:rPr>
          <w:lang w:val="fr-CA"/>
        </w:rPr>
        <w:t xml:space="preserve"> carrelage</w:t>
      </w:r>
      <w:r w:rsidRPr="000E2AAC">
        <w:rPr>
          <w:lang w:val="fr-CA"/>
        </w:rPr>
        <w:t>;</w:t>
      </w:r>
    </w:p>
    <w:p w14:paraId="639427C2" w14:textId="394E97AE" w:rsidR="00DD5AF6" w:rsidRPr="000E2AAC" w:rsidRDefault="00DD5AF6" w:rsidP="003F66F0">
      <w:pPr>
        <w:pStyle w:val="ListRef"/>
        <w:numPr>
          <w:ilvl w:val="0"/>
          <w:numId w:val="18"/>
        </w:numPr>
        <w:rPr>
          <w:lang w:val="fr-CA"/>
        </w:rPr>
      </w:pPr>
      <w:proofErr w:type="gramStart"/>
      <w:r w:rsidRPr="000E2AAC">
        <w:rPr>
          <w:lang w:val="fr-CA"/>
        </w:rPr>
        <w:t>servir</w:t>
      </w:r>
      <w:proofErr w:type="gramEnd"/>
      <w:r w:rsidRPr="000E2AAC">
        <w:rPr>
          <w:lang w:val="fr-CA"/>
        </w:rPr>
        <w:t xml:space="preserve"> de mesure de sécurité pour définir les bords ou les frontières des objets, tels que les nez des escaliers, les portes et les </w:t>
      </w:r>
      <w:r w:rsidR="00062785">
        <w:rPr>
          <w:lang w:val="fr-CA"/>
        </w:rPr>
        <w:t>mains courantes</w:t>
      </w:r>
      <w:r w:rsidRPr="000E2AAC">
        <w:rPr>
          <w:lang w:val="fr-CA"/>
        </w:rPr>
        <w:t>;</w:t>
      </w:r>
    </w:p>
    <w:p w14:paraId="45C63463" w14:textId="1C3C8CAA" w:rsidR="00DD5AF6" w:rsidRPr="000E2AAC" w:rsidRDefault="00DD5AF6" w:rsidP="003F66F0">
      <w:pPr>
        <w:pStyle w:val="ListRef"/>
        <w:numPr>
          <w:ilvl w:val="0"/>
          <w:numId w:val="18"/>
        </w:numPr>
        <w:rPr>
          <w:lang w:val="fr-CA"/>
        </w:rPr>
      </w:pPr>
      <w:proofErr w:type="gramStart"/>
      <w:r w:rsidRPr="000E2AAC">
        <w:rPr>
          <w:lang w:val="fr-CA"/>
        </w:rPr>
        <w:t>distinguer</w:t>
      </w:r>
      <w:proofErr w:type="gramEnd"/>
      <w:r w:rsidRPr="000E2AAC">
        <w:rPr>
          <w:lang w:val="fr-CA"/>
        </w:rPr>
        <w:t xml:space="preserve"> visuellement des éléments architecturaux importants, comme les ascenseurs et les portes de sortie, de leur environnement immédiat;</w:t>
      </w:r>
    </w:p>
    <w:p w14:paraId="5FD49DEB" w14:textId="10C41F17" w:rsidR="00DD5AF6" w:rsidRPr="000E2AAC" w:rsidRDefault="00DD5AF6" w:rsidP="003F66F0">
      <w:pPr>
        <w:pStyle w:val="ListRef"/>
        <w:numPr>
          <w:ilvl w:val="0"/>
          <w:numId w:val="18"/>
        </w:numPr>
        <w:rPr>
          <w:lang w:val="fr-CA"/>
        </w:rPr>
      </w:pPr>
      <w:proofErr w:type="gramStart"/>
      <w:r w:rsidRPr="000E2AAC">
        <w:rPr>
          <w:lang w:val="fr-CA"/>
        </w:rPr>
        <w:t>définir</w:t>
      </w:r>
      <w:proofErr w:type="gramEnd"/>
      <w:r w:rsidRPr="000E2AAC">
        <w:rPr>
          <w:lang w:val="fr-CA"/>
        </w:rPr>
        <w:t xml:space="preserve"> les limites d</w:t>
      </w:r>
      <w:r w:rsidR="007F197F">
        <w:rPr>
          <w:lang w:val="fr-CA"/>
        </w:rPr>
        <w:t>’</w:t>
      </w:r>
      <w:r w:rsidRPr="000E2AAC">
        <w:rPr>
          <w:lang w:val="fr-CA"/>
        </w:rPr>
        <w:t>une pièce, comme l</w:t>
      </w:r>
      <w:r w:rsidR="007F197F">
        <w:rPr>
          <w:lang w:val="fr-CA"/>
        </w:rPr>
        <w:t>’</w:t>
      </w:r>
      <w:r w:rsidRPr="000E2AAC">
        <w:rPr>
          <w:lang w:val="fr-CA"/>
        </w:rPr>
        <w:t>endroit où le mur rencontre le plancher, en utilisant la couleur ou le ton;</w:t>
      </w:r>
    </w:p>
    <w:p w14:paraId="7ABB260C" w14:textId="1B7B8405" w:rsidR="00DD5AF6" w:rsidRPr="000E2AAC" w:rsidRDefault="00DD5AF6" w:rsidP="003F66F0">
      <w:pPr>
        <w:pStyle w:val="ListRef"/>
        <w:numPr>
          <w:ilvl w:val="0"/>
          <w:numId w:val="18"/>
        </w:numPr>
        <w:rPr>
          <w:lang w:val="fr-CA"/>
        </w:rPr>
      </w:pPr>
      <w:proofErr w:type="gramStart"/>
      <w:r w:rsidRPr="000E2AAC">
        <w:rPr>
          <w:lang w:val="fr-CA"/>
        </w:rPr>
        <w:t>assurer</w:t>
      </w:r>
      <w:proofErr w:type="gramEnd"/>
      <w:r w:rsidRPr="000E2AAC">
        <w:rPr>
          <w:lang w:val="fr-CA"/>
        </w:rPr>
        <w:t xml:space="preserve"> que les plinthes dans les environnements monochromes sont contrastées avec les couleurs des murs et du plancher, afin de délimiter les limites;</w:t>
      </w:r>
    </w:p>
    <w:p w14:paraId="78AF86DA" w14:textId="77777777" w:rsidR="00DD5AF6" w:rsidRPr="000E2AAC" w:rsidRDefault="00DD5AF6" w:rsidP="003F66F0">
      <w:pPr>
        <w:pStyle w:val="ListRef"/>
        <w:numPr>
          <w:ilvl w:val="0"/>
          <w:numId w:val="18"/>
        </w:numPr>
        <w:rPr>
          <w:lang w:val="fr-CA"/>
        </w:rPr>
      </w:pPr>
      <w:proofErr w:type="gramStart"/>
      <w:r w:rsidRPr="000E2AAC">
        <w:rPr>
          <w:lang w:val="fr-CA"/>
        </w:rPr>
        <w:t>être</w:t>
      </w:r>
      <w:proofErr w:type="gramEnd"/>
      <w:r w:rsidRPr="000E2AAC">
        <w:rPr>
          <w:lang w:val="fr-CA"/>
        </w:rPr>
        <w:t xml:space="preserve"> appliqué de façon cohérente pour identifier visuellement des objets distinctifs et des éléments architecturaux importants, comme les portes de sortie et les ascenseurs;</w:t>
      </w:r>
    </w:p>
    <w:p w14:paraId="00D55A00" w14:textId="599AC6E0" w:rsidR="00DD5AF6" w:rsidRPr="000E2AAC" w:rsidRDefault="00DD5AF6" w:rsidP="003F66F0">
      <w:pPr>
        <w:pStyle w:val="ListRef"/>
        <w:numPr>
          <w:ilvl w:val="0"/>
          <w:numId w:val="18"/>
        </w:numPr>
        <w:rPr>
          <w:lang w:val="fr-CA"/>
        </w:rPr>
      </w:pPr>
      <w:proofErr w:type="gramStart"/>
      <w:r w:rsidRPr="000E2AAC">
        <w:rPr>
          <w:lang w:val="fr-CA"/>
        </w:rPr>
        <w:t>inclure</w:t>
      </w:r>
      <w:proofErr w:type="gramEnd"/>
      <w:r w:rsidRPr="000E2AAC">
        <w:rPr>
          <w:lang w:val="fr-CA"/>
        </w:rPr>
        <w:t xml:space="preserve"> un programme d</w:t>
      </w:r>
      <w:r w:rsidR="007F197F">
        <w:rPr>
          <w:lang w:val="fr-CA"/>
        </w:rPr>
        <w:t>’</w:t>
      </w:r>
      <w:r w:rsidRPr="000E2AAC">
        <w:rPr>
          <w:lang w:val="fr-CA"/>
        </w:rPr>
        <w:t>entretien régulier pour les environnements intérieurs et extérieurs, afin d</w:t>
      </w:r>
      <w:r w:rsidR="007F197F">
        <w:rPr>
          <w:lang w:val="fr-CA"/>
        </w:rPr>
        <w:t>’</w:t>
      </w:r>
      <w:r w:rsidRPr="000E2AAC">
        <w:rPr>
          <w:lang w:val="fr-CA"/>
        </w:rPr>
        <w:t>assurer que le contraste de luminance nécessaire soit préservé tout au long du bâtiment ou de l</w:t>
      </w:r>
      <w:r w:rsidR="007F197F">
        <w:rPr>
          <w:lang w:val="fr-CA"/>
        </w:rPr>
        <w:t>’</w:t>
      </w:r>
      <w:r w:rsidRPr="000E2AAC">
        <w:rPr>
          <w:lang w:val="fr-CA"/>
        </w:rPr>
        <w:t>espace extérieur ou du cycle de vie de l</w:t>
      </w:r>
      <w:r w:rsidR="007F197F">
        <w:rPr>
          <w:lang w:val="fr-CA"/>
        </w:rPr>
        <w:t>’</w:t>
      </w:r>
      <w:r w:rsidRPr="000E2AAC">
        <w:rPr>
          <w:lang w:val="fr-CA"/>
        </w:rPr>
        <w:t>installation, notamment pour les marquages de sol liés à la sécurité comme le nez des escaliers;</w:t>
      </w:r>
    </w:p>
    <w:p w14:paraId="13EA6EC5" w14:textId="67D00ADF" w:rsidR="00DD5AF6" w:rsidRPr="000E2AAC" w:rsidRDefault="005231B8" w:rsidP="003F66F0">
      <w:pPr>
        <w:pStyle w:val="ListRef"/>
        <w:numPr>
          <w:ilvl w:val="0"/>
          <w:numId w:val="18"/>
        </w:numPr>
        <w:rPr>
          <w:lang w:val="fr-CA"/>
        </w:rPr>
      </w:pPr>
      <w:proofErr w:type="gramStart"/>
      <w:r>
        <w:rPr>
          <w:lang w:val="fr-CA"/>
        </w:rPr>
        <w:lastRenderedPageBreak/>
        <w:t>ne</w:t>
      </w:r>
      <w:proofErr w:type="gramEnd"/>
      <w:r>
        <w:rPr>
          <w:lang w:val="fr-CA"/>
        </w:rPr>
        <w:t xml:space="preserve"> </w:t>
      </w:r>
      <w:r w:rsidR="00DD5AF6" w:rsidRPr="000E2AAC">
        <w:rPr>
          <w:lang w:val="fr-CA"/>
        </w:rPr>
        <w:t>pas utiliser de couleur proche ou identique à celles utilisées pour la signalisation réglementaire, de sécurité ou d</w:t>
      </w:r>
      <w:r w:rsidR="007F197F">
        <w:rPr>
          <w:lang w:val="fr-CA"/>
        </w:rPr>
        <w:t>’</w:t>
      </w:r>
      <w:r w:rsidR="00DD5AF6" w:rsidRPr="000E2AAC">
        <w:rPr>
          <w:lang w:val="fr-CA"/>
        </w:rPr>
        <w:t>urgence pour d</w:t>
      </w:r>
      <w:r w:rsidR="007F197F">
        <w:rPr>
          <w:lang w:val="fr-CA"/>
        </w:rPr>
        <w:t>’</w:t>
      </w:r>
      <w:r w:rsidR="00DD5AF6" w:rsidRPr="000E2AAC">
        <w:rPr>
          <w:lang w:val="fr-CA"/>
        </w:rPr>
        <w:t>autres types de signalisation</w:t>
      </w:r>
      <w:r w:rsidR="002431B7">
        <w:rPr>
          <w:lang w:val="fr-CA"/>
        </w:rPr>
        <w:t xml:space="preserve"> pour les environnements</w:t>
      </w:r>
      <w:r w:rsidR="002431B7">
        <w:rPr>
          <w:rFonts w:cs="Arial"/>
          <w:lang w:val="fr-CA"/>
        </w:rPr>
        <w:t xml:space="preserve"> </w:t>
      </w:r>
      <w:r w:rsidR="00DD5AF6" w:rsidRPr="000E2AAC">
        <w:rPr>
          <w:lang w:val="fr-CA"/>
        </w:rPr>
        <w:t>intérieur</w:t>
      </w:r>
      <w:r w:rsidR="002431B7">
        <w:rPr>
          <w:lang w:val="fr-CA"/>
        </w:rPr>
        <w:t>s</w:t>
      </w:r>
      <w:r w:rsidR="00DD5AF6" w:rsidRPr="000E2AAC">
        <w:rPr>
          <w:lang w:val="fr-CA"/>
        </w:rPr>
        <w:t xml:space="preserve"> </w:t>
      </w:r>
      <w:r w:rsidR="0015191B">
        <w:rPr>
          <w:lang w:val="fr-CA"/>
        </w:rPr>
        <w:t>et</w:t>
      </w:r>
      <w:r w:rsidR="00AC3099">
        <w:rPr>
          <w:lang w:val="fr-CA"/>
        </w:rPr>
        <w:t xml:space="preserve"> </w:t>
      </w:r>
      <w:r w:rsidR="00DD5AF6" w:rsidRPr="000E2AAC">
        <w:rPr>
          <w:lang w:val="fr-CA"/>
        </w:rPr>
        <w:t>extérieur</w:t>
      </w:r>
      <w:r w:rsidR="00FD686D">
        <w:rPr>
          <w:lang w:val="fr-CA"/>
        </w:rPr>
        <w:t>s</w:t>
      </w:r>
      <w:r w:rsidR="00DD5AF6" w:rsidRPr="000E2AAC">
        <w:rPr>
          <w:lang w:val="fr-CA"/>
        </w:rPr>
        <w:t>; et</w:t>
      </w:r>
    </w:p>
    <w:p w14:paraId="23A83AF5" w14:textId="42E932F0" w:rsidR="00DD5AF6" w:rsidRPr="00D81CEA" w:rsidRDefault="00B2511C" w:rsidP="003F66F0">
      <w:pPr>
        <w:pStyle w:val="ListRef"/>
        <w:numPr>
          <w:ilvl w:val="0"/>
          <w:numId w:val="18"/>
        </w:numPr>
        <w:rPr>
          <w:lang w:val="fr-CA"/>
        </w:rPr>
      </w:pPr>
      <w:proofErr w:type="gramStart"/>
      <w:r>
        <w:rPr>
          <w:lang w:val="fr-CA"/>
        </w:rPr>
        <w:t>satisfaire</w:t>
      </w:r>
      <w:proofErr w:type="gramEnd"/>
      <w:r w:rsidR="00DD5AF6" w:rsidRPr="000E2AAC">
        <w:rPr>
          <w:lang w:val="fr-CA"/>
        </w:rPr>
        <w:t xml:space="preserve"> aux valeurs minimales de contraste de luminance </w:t>
      </w:r>
      <w:r w:rsidR="007D20F9">
        <w:rPr>
          <w:lang w:val="fr-CA"/>
        </w:rPr>
        <w:t>indiquées dans le</w:t>
      </w:r>
      <w:r w:rsidR="00DD5AF6" w:rsidRPr="000E2AAC">
        <w:rPr>
          <w:lang w:val="fr-CA"/>
        </w:rPr>
        <w:t xml:space="preserve"> </w:t>
      </w:r>
      <w:r w:rsidR="00183E4C">
        <w:rPr>
          <w:lang w:val="fr-CA"/>
        </w:rPr>
        <w:t>t</w:t>
      </w:r>
      <w:r w:rsidR="00DD5AF6" w:rsidRPr="000E2AAC">
        <w:rPr>
          <w:lang w:val="fr-CA"/>
        </w:rPr>
        <w:t>ableau</w:t>
      </w:r>
      <w:r w:rsidR="003C1DE5">
        <w:rPr>
          <w:lang w:val="fr-CA"/>
        </w:rPr>
        <w:t> </w:t>
      </w:r>
      <w:r w:rsidR="00DD5AF6">
        <w:fldChar w:fldCharType="begin"/>
      </w:r>
      <w:r w:rsidR="00DD5AF6" w:rsidRPr="007C0FBA">
        <w:rPr>
          <w:lang w:val="fr-CA"/>
        </w:rPr>
        <w:instrText>HYPERLINK \l "Tableau1"</w:instrText>
      </w:r>
      <w:r w:rsidR="00DD5AF6">
        <w:fldChar w:fldCharType="separate"/>
      </w:r>
      <w:r w:rsidR="00DD5AF6" w:rsidRPr="00D81CEA">
        <w:rPr>
          <w:rStyle w:val="Hyperlink"/>
          <w:lang w:val="fr-CA"/>
        </w:rPr>
        <w:t>1</w:t>
      </w:r>
      <w:r w:rsidR="00DD5AF6">
        <w:fldChar w:fldCharType="end"/>
      </w:r>
      <w:r w:rsidR="00DD5AF6" w:rsidRPr="000E2AAC">
        <w:rPr>
          <w:lang w:val="fr-CA"/>
        </w:rPr>
        <w:t xml:space="preserve"> (pour les exigences concernant les matériaux </w:t>
      </w:r>
      <w:r w:rsidR="00954F26">
        <w:rPr>
          <w:lang w:val="fr-CA"/>
        </w:rPr>
        <w:t>lustrées</w:t>
      </w:r>
      <w:r w:rsidR="00DD5AF6" w:rsidRPr="000E2AAC">
        <w:rPr>
          <w:lang w:val="fr-CA"/>
        </w:rPr>
        <w:t xml:space="preserve"> ou brillant</w:t>
      </w:r>
      <w:r w:rsidR="00954F26">
        <w:rPr>
          <w:lang w:val="fr-CA"/>
        </w:rPr>
        <w:t>e</w:t>
      </w:r>
      <w:r w:rsidR="00DD5AF6" w:rsidRPr="000E2AAC">
        <w:rPr>
          <w:lang w:val="fr-CA"/>
        </w:rPr>
        <w:t>s, voir l</w:t>
      </w:r>
      <w:r w:rsidR="00954F26">
        <w:rPr>
          <w:lang w:val="fr-CA"/>
        </w:rPr>
        <w:t>’article</w:t>
      </w:r>
      <w:r w:rsidR="003C1DE5">
        <w:rPr>
          <w:lang w:val="fr-CA"/>
        </w:rPr>
        <w:t> </w:t>
      </w:r>
      <w:r w:rsidR="00494EA5">
        <w:fldChar w:fldCharType="begin"/>
      </w:r>
      <w:r w:rsidR="00494EA5" w:rsidRPr="007C0FBA">
        <w:rPr>
          <w:lang w:val="fr-CA"/>
        </w:rPr>
        <w:instrText>HYPERLINK \l "_Luminance_contrast_of"</w:instrText>
      </w:r>
      <w:r w:rsidR="00494EA5">
        <w:fldChar w:fldCharType="separate"/>
      </w:r>
      <w:r w:rsidR="00494EA5" w:rsidRPr="00D81CEA">
        <w:rPr>
          <w:rStyle w:val="Hyperlink"/>
          <w:lang w:val="fr-CA"/>
        </w:rPr>
        <w:t>1</w:t>
      </w:r>
      <w:r w:rsidR="00CC1CA9">
        <w:rPr>
          <w:rStyle w:val="Hyperlink"/>
          <w:lang w:val="fr-CA"/>
        </w:rPr>
        <w:t>0</w:t>
      </w:r>
      <w:r w:rsidR="00494EA5" w:rsidRPr="00D81CEA">
        <w:rPr>
          <w:rStyle w:val="Hyperlink"/>
          <w:lang w:val="fr-CA"/>
        </w:rPr>
        <w:t>.2.2</w:t>
      </w:r>
      <w:r w:rsidR="00494EA5">
        <w:fldChar w:fldCharType="end"/>
      </w:r>
      <w:r w:rsidR="00DD5AF6" w:rsidRPr="00D81CEA">
        <w:rPr>
          <w:lang w:val="fr-CA"/>
        </w:rPr>
        <w:t xml:space="preserve"> et le tableau</w:t>
      </w:r>
      <w:r w:rsidR="003C1DE5">
        <w:rPr>
          <w:lang w:val="fr-CA"/>
        </w:rPr>
        <w:t> </w:t>
      </w:r>
      <w:r w:rsidR="00DD5AF6">
        <w:fldChar w:fldCharType="begin"/>
      </w:r>
      <w:r w:rsidR="00DD5AF6" w:rsidRPr="007C0FBA">
        <w:rPr>
          <w:lang w:val="fr-CA"/>
        </w:rPr>
        <w:instrText>HYPERLINK \l "Tableau2"</w:instrText>
      </w:r>
      <w:r w:rsidR="00DD5AF6">
        <w:fldChar w:fldCharType="separate"/>
      </w:r>
      <w:r w:rsidR="00DD5AF6" w:rsidRPr="00790B31">
        <w:rPr>
          <w:rStyle w:val="Hyperlink"/>
          <w:lang w:val="fr-CA"/>
        </w:rPr>
        <w:t>2</w:t>
      </w:r>
      <w:r w:rsidR="00DD5AF6">
        <w:fldChar w:fldCharType="end"/>
      </w:r>
      <w:r w:rsidR="00DD5AF6" w:rsidRPr="00D81CEA">
        <w:rPr>
          <w:lang w:val="fr-CA"/>
        </w:rPr>
        <w:t>).</w:t>
      </w:r>
    </w:p>
    <w:p w14:paraId="03727E24" w14:textId="7E2919A1" w:rsidR="003052AC" w:rsidRPr="00D81CEA" w:rsidRDefault="00B675EB" w:rsidP="00DD5AF6">
      <w:pPr>
        <w:rPr>
          <w:lang w:val="fr-CA"/>
        </w:rPr>
      </w:pPr>
      <w:r>
        <w:rPr>
          <w:rStyle w:val="EmphasisUseSparingly"/>
          <w:lang w:val="fr-CA"/>
        </w:rPr>
        <w:t>Remarque</w:t>
      </w:r>
      <w:r w:rsidR="00F1547A">
        <w:rPr>
          <w:rStyle w:val="EmphasisUseSparingly"/>
          <w:lang w:val="fr-CA"/>
        </w:rPr>
        <w:t> </w:t>
      </w:r>
      <w:r w:rsidR="00DD5AF6" w:rsidRPr="00D81CEA">
        <w:rPr>
          <w:rStyle w:val="EmphasisUseSparingly"/>
          <w:lang w:val="fr-CA"/>
        </w:rPr>
        <w:t xml:space="preserve">: </w:t>
      </w:r>
      <w:r w:rsidR="00DD5AF6" w:rsidRPr="00D81CEA">
        <w:rPr>
          <w:lang w:val="fr-CA"/>
        </w:rPr>
        <w:t>Ce sont des valeurs minimales de contraste</w:t>
      </w:r>
      <w:r w:rsidR="00553860">
        <w:rPr>
          <w:lang w:val="fr-CA"/>
        </w:rPr>
        <w:t>. D</w:t>
      </w:r>
      <w:r w:rsidR="00DD5AF6" w:rsidRPr="00D81CEA">
        <w:rPr>
          <w:lang w:val="fr-CA"/>
        </w:rPr>
        <w:t>es valeurs plus élevées sont souvent utilisées pour améliorer les conditions d</w:t>
      </w:r>
      <w:r w:rsidR="007F197F">
        <w:rPr>
          <w:lang w:val="fr-CA"/>
        </w:rPr>
        <w:t>’</w:t>
      </w:r>
      <w:r w:rsidR="00DD5AF6" w:rsidRPr="00D81CEA">
        <w:rPr>
          <w:lang w:val="fr-CA"/>
        </w:rPr>
        <w:t>éclairage, par exemple lorsque celles-ci peuvent parfois être faibles.</w:t>
      </w:r>
    </w:p>
    <w:p w14:paraId="0123E425" w14:textId="6EFBB815" w:rsidR="00003902" w:rsidRPr="00D81CEA" w:rsidRDefault="00003902" w:rsidP="00877353">
      <w:pPr>
        <w:rPr>
          <w:lang w:val="fr-CA"/>
        </w:rPr>
      </w:pPr>
      <w:r w:rsidRPr="00D81CEA">
        <w:rPr>
          <w:lang w:val="fr-CA"/>
        </w:rPr>
        <w:t xml:space="preserve">Sauf indication contraire à la conception de contraste de luminance extérieure, </w:t>
      </w:r>
      <w:r w:rsidR="00D070A5">
        <w:rPr>
          <w:lang w:val="fr-CA"/>
        </w:rPr>
        <w:t xml:space="preserve">tels que dans </w:t>
      </w:r>
      <w:r w:rsidRPr="00D81CEA">
        <w:rPr>
          <w:lang w:val="fr-CA"/>
        </w:rPr>
        <w:t xml:space="preserve">les </w:t>
      </w:r>
      <w:r w:rsidR="003F2A13">
        <w:rPr>
          <w:lang w:val="fr-CA"/>
        </w:rPr>
        <w:t>exigences</w:t>
      </w:r>
      <w:r w:rsidRPr="00D81CEA">
        <w:rPr>
          <w:lang w:val="fr-CA"/>
        </w:rPr>
        <w:t xml:space="preserve"> g) et h), les exigences ci-dessus ne s</w:t>
      </w:r>
      <w:r w:rsidR="007F197F">
        <w:rPr>
          <w:lang w:val="fr-CA"/>
        </w:rPr>
        <w:t>’</w:t>
      </w:r>
      <w:r w:rsidRPr="00D81CEA">
        <w:rPr>
          <w:lang w:val="fr-CA"/>
        </w:rPr>
        <w:t>appliquent qu</w:t>
      </w:r>
      <w:r w:rsidR="007F197F">
        <w:rPr>
          <w:lang w:val="fr-CA"/>
        </w:rPr>
        <w:t>’</w:t>
      </w:r>
      <w:r w:rsidRPr="00D81CEA">
        <w:rPr>
          <w:lang w:val="fr-CA"/>
        </w:rPr>
        <w:t>aux environnements bâtis intérieurs.</w:t>
      </w:r>
    </w:p>
    <w:p w14:paraId="0E23E400" w14:textId="77777777" w:rsidR="006C49D8" w:rsidRDefault="006C49D8">
      <w:pPr>
        <w:keepLines w:val="0"/>
        <w:spacing w:before="0" w:beforeAutospacing="0" w:line="259" w:lineRule="auto"/>
        <w:rPr>
          <w:b/>
          <w:bCs/>
          <w:lang w:val="fr-CA"/>
        </w:rPr>
      </w:pPr>
      <w:bookmarkStart w:id="572" w:name="Tableau1"/>
      <w:r>
        <w:rPr>
          <w:b/>
          <w:bCs/>
          <w:lang w:val="fr-CA"/>
        </w:rPr>
        <w:br w:type="page"/>
      </w:r>
    </w:p>
    <w:p w14:paraId="2932B4C6" w14:textId="2A154C7B" w:rsidR="00671C5E" w:rsidRDefault="00003902" w:rsidP="00003902">
      <w:pPr>
        <w:rPr>
          <w:b/>
          <w:bCs/>
          <w:lang w:val="fr-CA"/>
        </w:rPr>
      </w:pPr>
      <w:r w:rsidRPr="00671C5E">
        <w:rPr>
          <w:b/>
          <w:bCs/>
          <w:lang w:val="fr-CA"/>
        </w:rPr>
        <w:lastRenderedPageBreak/>
        <w:t>Tableau</w:t>
      </w:r>
      <w:r w:rsidR="003C1DE5">
        <w:rPr>
          <w:b/>
          <w:bCs/>
          <w:lang w:val="fr-CA"/>
        </w:rPr>
        <w:t> </w:t>
      </w:r>
      <w:r w:rsidRPr="00671C5E">
        <w:rPr>
          <w:b/>
          <w:bCs/>
          <w:lang w:val="fr-CA"/>
        </w:rPr>
        <w:t xml:space="preserve">1 </w:t>
      </w:r>
      <w:bookmarkEnd w:id="572"/>
      <w:r w:rsidRPr="00671C5E">
        <w:rPr>
          <w:b/>
          <w:bCs/>
          <w:lang w:val="fr-CA"/>
        </w:rPr>
        <w:t>– Valeurs minimales de contraste de luminance</w:t>
      </w:r>
      <w:r w:rsidR="00FD4F9B" w:rsidRPr="00671C5E">
        <w:rPr>
          <w:b/>
          <w:bCs/>
          <w:lang w:val="fr-CA"/>
        </w:rPr>
        <w:t xml:space="preserve"> pour les surfaces mates</w:t>
      </w:r>
      <w:r w:rsidRPr="00671C5E">
        <w:rPr>
          <w:b/>
          <w:bCs/>
          <w:lang w:val="fr-CA"/>
        </w:rPr>
        <w:t xml:space="preserve"> selon la tâche visuelle</w:t>
      </w:r>
    </w:p>
    <w:p w14:paraId="58F40547" w14:textId="5780CA92" w:rsidR="00003902" w:rsidRDefault="005D12B4" w:rsidP="00003902">
      <w:pPr>
        <w:rPr>
          <w:lang w:val="fr-CA"/>
        </w:rPr>
      </w:pPr>
      <w:r>
        <w:rPr>
          <w:lang w:val="fr-CA"/>
        </w:rPr>
        <w:t>(Voir articles</w:t>
      </w:r>
      <w:r w:rsidR="003C1DE5">
        <w:rPr>
          <w:lang w:val="fr-CA"/>
        </w:rPr>
        <w:t> </w:t>
      </w:r>
      <w:r>
        <w:fldChar w:fldCharType="begin"/>
      </w:r>
      <w:r w:rsidRPr="007C0FBA">
        <w:rPr>
          <w:lang w:val="fr-CA"/>
        </w:rPr>
        <w:instrText>HYPERLINK \l "_Exigences_générales"</w:instrText>
      </w:r>
      <w:r>
        <w:fldChar w:fldCharType="separate"/>
      </w:r>
      <w:r w:rsidRPr="00D651F2">
        <w:rPr>
          <w:rStyle w:val="Hyperlink"/>
          <w:lang w:val="fr-CA"/>
        </w:rPr>
        <w:t>10.2.1</w:t>
      </w:r>
      <w:r>
        <w:fldChar w:fldCharType="end"/>
      </w:r>
      <w:r>
        <w:rPr>
          <w:lang w:val="fr-CA"/>
        </w:rPr>
        <w:t xml:space="preserve"> i) et </w:t>
      </w:r>
      <w:r>
        <w:fldChar w:fldCharType="begin"/>
      </w:r>
      <w:r w:rsidRPr="007C0FBA">
        <w:rPr>
          <w:lang w:val="fr-CA"/>
        </w:rPr>
        <w:instrText>HYPERLINK \l "_Contraste_de_luminance"</w:instrText>
      </w:r>
      <w:r>
        <w:fldChar w:fldCharType="separate"/>
      </w:r>
      <w:r w:rsidRPr="00B30CD9">
        <w:rPr>
          <w:rStyle w:val="Hyperlink"/>
          <w:lang w:val="fr-CA"/>
        </w:rPr>
        <w:t xml:space="preserve">10.2.2 </w:t>
      </w:r>
      <w:r>
        <w:rPr>
          <w:rStyle w:val="Hyperlink"/>
          <w:lang w:val="fr-CA"/>
        </w:rPr>
        <w:t>a</w:t>
      </w:r>
      <w:r w:rsidRPr="00B30CD9">
        <w:rPr>
          <w:rStyle w:val="Hyperlink"/>
          <w:lang w:val="fr-CA"/>
        </w:rPr>
        <w:t>) i)</w:t>
      </w:r>
      <w:r>
        <w:fldChar w:fldCharType="end"/>
      </w:r>
      <w:r>
        <w:rPr>
          <w:lang w:val="fr-CA"/>
        </w:rPr>
        <w:t>)</w:t>
      </w:r>
    </w:p>
    <w:p w14:paraId="70540212" w14:textId="727F65CB" w:rsidR="006C06DE" w:rsidRPr="0072773E" w:rsidRDefault="006C06DE" w:rsidP="00003902">
      <w:pPr>
        <w:rPr>
          <w:lang w:val="fr-CA"/>
        </w:rPr>
      </w:pPr>
      <w:r w:rsidRPr="006C06DE">
        <w:rPr>
          <w:lang w:val="fr-CA"/>
        </w:rPr>
        <w:t>Ce tableau fournit les valeurs requises</w:t>
      </w:r>
      <w:r>
        <w:rPr>
          <w:lang w:val="fr-CA"/>
        </w:rPr>
        <w:t xml:space="preserve"> de </w:t>
      </w:r>
      <w:r w:rsidR="00583677">
        <w:rPr>
          <w:lang w:val="fr-CA"/>
        </w:rPr>
        <w:t xml:space="preserve">la valeur minimale de </w:t>
      </w:r>
      <w:r w:rsidR="0072773E">
        <w:rPr>
          <w:lang w:val="fr-CA"/>
        </w:rPr>
        <w:t>réflectance</w:t>
      </w:r>
      <w:r w:rsidR="00583677">
        <w:rPr>
          <w:lang w:val="fr-CA"/>
        </w:rPr>
        <w:t xml:space="preserve"> lumineuse (VRL</w:t>
      </w:r>
      <w:r w:rsidR="001351F8">
        <w:rPr>
          <w:lang w:val="fr-CA"/>
        </w:rPr>
        <w:t>), de contraste de Michelson et de contraste de Weber pour différentes t</w:t>
      </w:r>
      <w:r w:rsidR="0072773E">
        <w:rPr>
          <w:rFonts w:cs="Arial"/>
          <w:lang w:val="fr-CA"/>
        </w:rPr>
        <w:t>â</w:t>
      </w:r>
      <w:r w:rsidR="001351F8">
        <w:rPr>
          <w:lang w:val="fr-CA"/>
        </w:rPr>
        <w:t>ches visuelles sur une surface mate.</w:t>
      </w:r>
    </w:p>
    <w:tbl>
      <w:tblPr>
        <w:tblStyle w:val="TableGrid"/>
        <w:tblW w:w="9360" w:type="dxa"/>
        <w:tblLayout w:type="fixed"/>
        <w:tblLook w:val="06A0" w:firstRow="1" w:lastRow="0" w:firstColumn="1" w:lastColumn="0" w:noHBand="1" w:noVBand="1"/>
      </w:tblPr>
      <w:tblGrid>
        <w:gridCol w:w="4248"/>
        <w:gridCol w:w="1984"/>
        <w:gridCol w:w="1560"/>
        <w:gridCol w:w="1568"/>
      </w:tblGrid>
      <w:tr w:rsidR="00003902" w14:paraId="7BD86A9C" w14:textId="77777777" w:rsidTr="001A15EA">
        <w:trPr>
          <w:cnfStyle w:val="100000000000" w:firstRow="1" w:lastRow="0" w:firstColumn="0" w:lastColumn="0" w:oddVBand="0" w:evenVBand="0" w:oddHBand="0" w:evenHBand="0" w:firstRowFirstColumn="0" w:firstRowLastColumn="0" w:lastRowFirstColumn="0" w:lastRowLastColumn="0"/>
          <w:trHeight w:val="300"/>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B6A95" w14:textId="7CB14E18" w:rsidR="00003902" w:rsidRPr="004C79AF" w:rsidRDefault="00003902" w:rsidP="00BE1ADC">
            <w:pPr>
              <w:keepLines w:val="0"/>
              <w:widowControl w:val="0"/>
              <w:rPr>
                <w:lang w:val="fr-CA"/>
              </w:rPr>
            </w:pPr>
            <w:r w:rsidRPr="004C79AF">
              <w:rPr>
                <w:lang w:val="fr-CA"/>
              </w:rPr>
              <w:t>Tâche visuelle</w:t>
            </w:r>
            <w:r w:rsidR="004C79AF" w:rsidRPr="004C79AF">
              <w:rPr>
                <w:lang w:val="fr-CA"/>
              </w:rPr>
              <w:t xml:space="preserve"> sur la s</w:t>
            </w:r>
            <w:r w:rsidR="004C79AF">
              <w:rPr>
                <w:lang w:val="fr-CA"/>
              </w:rPr>
              <w:t>urface mate</w:t>
            </w:r>
            <w:r w:rsidR="00C96225">
              <w:rPr>
                <w:lang w:val="fr-CA"/>
              </w:rPr>
              <w:t xml:space="preserve"> par type de surface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4A9C0" w14:textId="4CF8CA05" w:rsidR="00003902" w:rsidRPr="00303A08" w:rsidRDefault="00C96225" w:rsidP="00003902">
            <w:pPr>
              <w:rPr>
                <w:lang w:val="fr-CA"/>
              </w:rPr>
            </w:pPr>
            <w:r>
              <w:rPr>
                <w:lang w:val="fr-CA"/>
              </w:rPr>
              <w:t>VRL*</w:t>
            </w:r>
            <w:r w:rsidR="00003902" w:rsidRPr="00303A08">
              <w:rPr>
                <w:lang w:val="fr-CA"/>
              </w:rPr>
              <w:t xml:space="preserve"> minimale de la surface plus claire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0F981" w14:textId="2D326CC2" w:rsidR="00003902" w:rsidRPr="00303A08" w:rsidRDefault="00311C54" w:rsidP="00003902">
            <w:pPr>
              <w:rPr>
                <w:lang w:val="fr-CA"/>
              </w:rPr>
            </w:pPr>
            <w:r>
              <w:rPr>
                <w:lang w:val="fr-CA"/>
              </w:rPr>
              <w:t>Contraste</w:t>
            </w:r>
            <w:r w:rsidR="00003902" w:rsidRPr="00303A08">
              <w:rPr>
                <w:lang w:val="fr-CA"/>
              </w:rPr>
              <w:t xml:space="preserve"> de Michelson</w:t>
            </w:r>
            <w:r w:rsidR="00600C9D">
              <w:rPr>
                <w:lang w:val="fr-CA"/>
              </w:rPr>
              <w:t>, Cm</w:t>
            </w:r>
            <w:r w:rsidR="00003902" w:rsidRPr="00303A08">
              <w:rPr>
                <w:lang w:val="fr-CA"/>
              </w:rPr>
              <w:t xml:space="preserve"> (%)</w:t>
            </w: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079AA" w14:textId="1C711635" w:rsidR="00003902" w:rsidRPr="00003902" w:rsidRDefault="00600C9D" w:rsidP="00003902">
            <w:proofErr w:type="spellStart"/>
            <w:r>
              <w:t>Contraste</w:t>
            </w:r>
            <w:proofErr w:type="spellEnd"/>
            <w:r>
              <w:t xml:space="preserve"> de </w:t>
            </w:r>
            <w:r w:rsidR="00003902" w:rsidRPr="002977F3">
              <w:t>Weber</w:t>
            </w:r>
            <w:r>
              <w:t>,</w:t>
            </w:r>
            <w:r w:rsidR="006A7DB9">
              <w:t xml:space="preserve"> </w:t>
            </w:r>
            <w:proofErr w:type="spellStart"/>
            <w:r w:rsidR="00003902" w:rsidRPr="002977F3">
              <w:t>Cw</w:t>
            </w:r>
            <w:proofErr w:type="spellEnd"/>
            <w:r w:rsidR="00003902" w:rsidRPr="002977F3">
              <w:t xml:space="preserve"> (%)</w:t>
            </w:r>
          </w:p>
        </w:tc>
      </w:tr>
      <w:tr w:rsidR="00003902" w14:paraId="1DA73BD5" w14:textId="77777777" w:rsidTr="001A15EA">
        <w:trPr>
          <w:trHeight w:val="300"/>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8B469" w14:textId="6D916246" w:rsidR="00003902" w:rsidRPr="00303A08" w:rsidRDefault="00D27258" w:rsidP="00BE1ADC">
            <w:pPr>
              <w:keepLines w:val="0"/>
              <w:widowControl w:val="0"/>
              <w:rPr>
                <w:lang w:val="fr-CA"/>
              </w:rPr>
            </w:pPr>
            <w:r>
              <w:rPr>
                <w:lang w:val="fr-CA"/>
              </w:rPr>
              <w:t>Surfaces de grande superficie</w:t>
            </w:r>
            <w:r w:rsidR="008D38E3">
              <w:rPr>
                <w:lang w:val="fr-CA"/>
              </w:rPr>
              <w:t>,</w:t>
            </w:r>
            <w:r w:rsidR="00A8759D">
              <w:rPr>
                <w:lang w:val="fr-CA"/>
              </w:rPr>
              <w:t xml:space="preserve"> et </w:t>
            </w:r>
            <w:r w:rsidR="00003902" w:rsidRPr="00303A08">
              <w:rPr>
                <w:lang w:val="fr-CA"/>
              </w:rPr>
              <w:t xml:space="preserve">éléments et composants </w:t>
            </w:r>
            <w:r w:rsidR="002F61A3">
              <w:rPr>
                <w:lang w:val="fr-CA"/>
              </w:rPr>
              <w:t>destin</w:t>
            </w:r>
            <w:r w:rsidR="002F61A3">
              <w:rPr>
                <w:rFonts w:cs="Arial"/>
                <w:lang w:val="fr-CA"/>
              </w:rPr>
              <w:t>é</w:t>
            </w:r>
            <w:r w:rsidR="002F61A3">
              <w:rPr>
                <w:lang w:val="fr-CA"/>
              </w:rPr>
              <w:t>s</w:t>
            </w:r>
            <w:r w:rsidR="00003902" w:rsidRPr="00303A08">
              <w:rPr>
                <w:lang w:val="fr-CA"/>
              </w:rPr>
              <w:t xml:space="preserve"> </w:t>
            </w:r>
            <w:r w:rsidR="002F61A3">
              <w:rPr>
                <w:lang w:val="fr-CA"/>
              </w:rPr>
              <w:t xml:space="preserve">à </w:t>
            </w:r>
            <w:r w:rsidR="00003902" w:rsidRPr="00303A08">
              <w:rPr>
                <w:lang w:val="fr-CA"/>
              </w:rPr>
              <w:t>faciliter l</w:t>
            </w:r>
            <w:r w:rsidR="007F197F">
              <w:rPr>
                <w:lang w:val="fr-CA"/>
              </w:rPr>
              <w:t>’</w:t>
            </w:r>
            <w:r w:rsidR="00003902" w:rsidRPr="00303A08">
              <w:rPr>
                <w:lang w:val="fr-CA"/>
              </w:rPr>
              <w:t>orientation</w:t>
            </w:r>
            <w:r w:rsidR="00EA167A">
              <w:rPr>
                <w:rFonts w:cs="Arial"/>
                <w:vertAlign w:val="superscript"/>
                <w:lang w:val="fr-CA"/>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DCE3A" w14:textId="77777777" w:rsidR="00003902" w:rsidRPr="00003902" w:rsidRDefault="00003902" w:rsidP="00003902">
            <w:r w:rsidRPr="002977F3">
              <w:t>≥40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F4F96" w14:textId="2891CB78" w:rsidR="00003902" w:rsidRPr="002977F3" w:rsidRDefault="00003902" w:rsidP="008F0899">
            <w:r w:rsidRPr="002977F3">
              <w:t>≥30</w:t>
            </w: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959D0" w14:textId="3B11260D" w:rsidR="00003902" w:rsidRPr="002977F3" w:rsidRDefault="00003902" w:rsidP="008F0899">
            <w:r w:rsidRPr="002977F3">
              <w:t>≥45</w:t>
            </w:r>
          </w:p>
        </w:tc>
      </w:tr>
      <w:tr w:rsidR="00003902" w14:paraId="5B5529A2" w14:textId="77777777" w:rsidTr="001A15EA">
        <w:trPr>
          <w:trHeight w:val="300"/>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F27DB" w14:textId="2089FE83" w:rsidR="00003902" w:rsidRPr="00303A08" w:rsidRDefault="00003902" w:rsidP="00003902">
            <w:pPr>
              <w:rPr>
                <w:lang w:val="fr-CA"/>
              </w:rPr>
            </w:pPr>
            <w:proofErr w:type="gramStart"/>
            <w:r w:rsidRPr="00303A08">
              <w:rPr>
                <w:lang w:val="fr-CA"/>
              </w:rPr>
              <w:t>Dangers potentiels</w:t>
            </w:r>
            <w:proofErr w:type="gramEnd"/>
            <w:r w:rsidRPr="00303A08">
              <w:rPr>
                <w:lang w:val="fr-CA"/>
              </w:rPr>
              <w:t>, petits objets</w:t>
            </w:r>
            <w:r w:rsidR="006B5B2F">
              <w:rPr>
                <w:lang w:val="fr-CA"/>
              </w:rPr>
              <w:t>,</w:t>
            </w:r>
            <w:r w:rsidRPr="00303A08">
              <w:rPr>
                <w:lang w:val="fr-CA"/>
              </w:rPr>
              <w:t xml:space="preserve"> et marquages </w:t>
            </w:r>
            <w:proofErr w:type="spellStart"/>
            <w:r w:rsidRPr="00303A08">
              <w:rPr>
                <w:lang w:val="fr-CA"/>
              </w:rPr>
              <w:t>autocontrastants</w:t>
            </w:r>
            <w:proofErr w:type="spellEnd"/>
            <w:r w:rsidR="00EA167A">
              <w:rPr>
                <w:rFonts w:cs="Arial"/>
                <w:vertAlign w:val="superscript"/>
                <w:lang w:val="fr-CA"/>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7A4E2" w14:textId="287D3E9D" w:rsidR="00003902" w:rsidRPr="002977F3" w:rsidRDefault="00003902" w:rsidP="008F0899">
            <w:r w:rsidRPr="002977F3">
              <w:t>≥50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5A888" w14:textId="7B5CE4FA" w:rsidR="00003902" w:rsidRPr="002977F3" w:rsidRDefault="00003902" w:rsidP="008F0899">
            <w:r w:rsidRPr="002977F3">
              <w:t>≥60</w:t>
            </w: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4C84D" w14:textId="5469EA17" w:rsidR="00003902" w:rsidRPr="002977F3" w:rsidRDefault="00003902" w:rsidP="008F0899">
            <w:r w:rsidRPr="002977F3">
              <w:t>≥75</w:t>
            </w:r>
          </w:p>
        </w:tc>
      </w:tr>
      <w:tr w:rsidR="00003902" w14:paraId="7C02ED04" w14:textId="77777777" w:rsidTr="001A15EA">
        <w:trPr>
          <w:trHeight w:val="300"/>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B08D6" w14:textId="3B837B1A" w:rsidR="00003902" w:rsidRPr="00663F17" w:rsidRDefault="00003902" w:rsidP="00003902">
            <w:pPr>
              <w:rPr>
                <w:vertAlign w:val="superscript"/>
                <w:lang w:val="fr-CA"/>
              </w:rPr>
            </w:pPr>
            <w:r w:rsidRPr="00303A08">
              <w:rPr>
                <w:lang w:val="fr-CA"/>
              </w:rPr>
              <w:t>Informations textuelles</w:t>
            </w:r>
            <w:r w:rsidR="00663F17">
              <w:rPr>
                <w:rFonts w:cs="Arial"/>
                <w:vertAlign w:val="superscript"/>
                <w:lang w:val="fr-CA"/>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EE38B" w14:textId="77777777" w:rsidR="00003902" w:rsidRPr="00003902" w:rsidRDefault="00003902" w:rsidP="00003902">
            <w:r w:rsidRPr="002977F3">
              <w:t>≥70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EC893" w14:textId="08641F37" w:rsidR="00003902" w:rsidRPr="002977F3" w:rsidRDefault="00003902" w:rsidP="008F0899">
            <w:r w:rsidRPr="002977F3">
              <w:t>≥60</w:t>
            </w: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32FF0" w14:textId="09FE39E0" w:rsidR="00003902" w:rsidRPr="002977F3" w:rsidRDefault="00003902" w:rsidP="008F0899">
            <w:r w:rsidRPr="002977F3">
              <w:t>≥75</w:t>
            </w:r>
          </w:p>
        </w:tc>
      </w:tr>
    </w:tbl>
    <w:p w14:paraId="1400E686" w14:textId="27F84EF6" w:rsidR="00577714" w:rsidRDefault="00577714" w:rsidP="000C41C7">
      <w:pPr>
        <w:rPr>
          <w:lang w:val="fr-CA"/>
        </w:rPr>
      </w:pPr>
      <w:bookmarkStart w:id="573" w:name="_Luminance_contrast_of"/>
      <w:bookmarkStart w:id="574" w:name="_Contraste_de_luminance"/>
      <w:bookmarkEnd w:id="573"/>
      <w:bookmarkEnd w:id="574"/>
      <w:r>
        <w:rPr>
          <w:lang w:val="fr-CA"/>
        </w:rPr>
        <w:t>*</w:t>
      </w:r>
      <w:r w:rsidRPr="00192BBE">
        <w:rPr>
          <w:lang w:val="fr-CA"/>
        </w:rPr>
        <w:t>V</w:t>
      </w:r>
      <w:r>
        <w:rPr>
          <w:lang w:val="fr-CA"/>
        </w:rPr>
        <w:t>RL</w:t>
      </w:r>
      <w:r w:rsidRPr="00303A08">
        <w:rPr>
          <w:lang w:val="fr-CA"/>
        </w:rPr>
        <w:t xml:space="preserve">: La valeur de réflectance </w:t>
      </w:r>
      <w:r>
        <w:rPr>
          <w:rFonts w:cs="Arial"/>
          <w:lang w:val="fr-CA"/>
        </w:rPr>
        <w:t>à</w:t>
      </w:r>
      <w:r>
        <w:rPr>
          <w:lang w:val="fr-CA"/>
        </w:rPr>
        <w:t xml:space="preserve"> la </w:t>
      </w:r>
      <w:r w:rsidRPr="00192BBE">
        <w:rPr>
          <w:lang w:val="fr-CA"/>
        </w:rPr>
        <w:t>lumi</w:t>
      </w:r>
      <w:r>
        <w:rPr>
          <w:lang w:val="fr-CA"/>
        </w:rPr>
        <w:t>ère</w:t>
      </w:r>
      <w:r w:rsidRPr="00303A08">
        <w:rPr>
          <w:lang w:val="fr-CA"/>
        </w:rPr>
        <w:t xml:space="preserve">, ou valeur CIE Y, est exprimée sur une échelle de 0 à 100, </w:t>
      </w:r>
      <w:r>
        <w:rPr>
          <w:lang w:val="fr-CA"/>
        </w:rPr>
        <w:t xml:space="preserve">le noir pur ayant </w:t>
      </w:r>
      <w:r w:rsidRPr="00303A08">
        <w:rPr>
          <w:lang w:val="fr-CA"/>
        </w:rPr>
        <w:t xml:space="preserve">une valeur de 0 </w:t>
      </w:r>
      <w:r>
        <w:rPr>
          <w:lang w:val="fr-CA"/>
        </w:rPr>
        <w:t xml:space="preserve">et le blanc ayant </w:t>
      </w:r>
      <w:r w:rsidRPr="00303A08">
        <w:rPr>
          <w:lang w:val="fr-CA"/>
        </w:rPr>
        <w:t>une valeur de 100</w:t>
      </w:r>
      <w:r w:rsidR="003B2C52">
        <w:rPr>
          <w:lang w:val="fr-CA"/>
        </w:rPr>
        <w:t> </w:t>
      </w:r>
      <w:r w:rsidRPr="00303A08">
        <w:rPr>
          <w:lang w:val="fr-CA"/>
        </w:rPr>
        <w:t>points.</w:t>
      </w:r>
    </w:p>
    <w:p w14:paraId="123FC79E" w14:textId="55FADFDA" w:rsidR="00404484" w:rsidRDefault="00FE4EC9" w:rsidP="000C41C7">
      <w:pPr>
        <w:rPr>
          <w:lang w:val="fr-CA"/>
        </w:rPr>
      </w:pPr>
      <w:r>
        <w:rPr>
          <w:rFonts w:cs="Arial"/>
          <w:lang w:val="fr-CA"/>
        </w:rPr>
        <w:t>†</w:t>
      </w:r>
      <w:r>
        <w:rPr>
          <w:lang w:val="fr-CA"/>
        </w:rPr>
        <w:t>:</w:t>
      </w:r>
      <w:r w:rsidR="00E80A1C">
        <w:rPr>
          <w:lang w:val="fr-CA"/>
        </w:rPr>
        <w:t xml:space="preserve"> Exemples de </w:t>
      </w:r>
      <w:r w:rsidR="00E2379F">
        <w:rPr>
          <w:lang w:val="fr-CA"/>
        </w:rPr>
        <w:t xml:space="preserve">surfaces de grande superficie </w:t>
      </w:r>
      <w:r w:rsidR="003A0B20">
        <w:rPr>
          <w:lang w:val="fr-CA"/>
        </w:rPr>
        <w:t>et de composants facilitant l’orientation</w:t>
      </w:r>
      <w:r w:rsidR="00FC6333">
        <w:rPr>
          <w:lang w:val="fr-CA"/>
        </w:rPr>
        <w:t xml:space="preserve"> comprennent, sans s’y limiter, les murs, les planchers</w:t>
      </w:r>
      <w:r w:rsidR="00472D55">
        <w:rPr>
          <w:lang w:val="fr-CA"/>
        </w:rPr>
        <w:t>, les portes, les plafonds, les mains courantes,</w:t>
      </w:r>
      <w:r w:rsidR="00442F1E">
        <w:rPr>
          <w:lang w:val="fr-CA"/>
        </w:rPr>
        <w:t xml:space="preserve"> les meubles</w:t>
      </w:r>
      <w:r w:rsidR="00CD5494">
        <w:rPr>
          <w:lang w:val="fr-CA"/>
        </w:rPr>
        <w:t>, les</w:t>
      </w:r>
      <w:r w:rsidR="00442F1E">
        <w:rPr>
          <w:lang w:val="fr-CA"/>
        </w:rPr>
        <w:t xml:space="preserve"> </w:t>
      </w:r>
      <w:r w:rsidR="00CD5494" w:rsidRPr="00533D39">
        <w:rPr>
          <w:lang w:val="fr-CA"/>
        </w:rPr>
        <w:t>indicateurs tactiles de surface de marche</w:t>
      </w:r>
      <w:r w:rsidR="00CD5494">
        <w:rPr>
          <w:lang w:val="fr-CA"/>
        </w:rPr>
        <w:t xml:space="preserve">, et </w:t>
      </w:r>
      <w:r w:rsidR="002660B6">
        <w:rPr>
          <w:lang w:val="fr-CA"/>
        </w:rPr>
        <w:t xml:space="preserve">les indicateurs visuels sure les surfaces </w:t>
      </w:r>
      <w:r w:rsidR="0080680C">
        <w:rPr>
          <w:lang w:val="fr-CA"/>
        </w:rPr>
        <w:t>vitrées</w:t>
      </w:r>
      <w:r w:rsidR="002660B6">
        <w:rPr>
          <w:lang w:val="fr-CA"/>
        </w:rPr>
        <w:t>.</w:t>
      </w:r>
    </w:p>
    <w:p w14:paraId="2F7BCF9F" w14:textId="3A778646" w:rsidR="002D7832" w:rsidRDefault="002D7832" w:rsidP="002D7832">
      <w:pPr>
        <w:rPr>
          <w:lang w:val="fr-CA"/>
        </w:rPr>
      </w:pPr>
      <w:r w:rsidRPr="009C000F">
        <w:rPr>
          <w:rFonts w:cs="Arial"/>
          <w:lang w:val="fr-CA"/>
        </w:rPr>
        <w:t>‡</w:t>
      </w:r>
      <w:r w:rsidRPr="009C000F">
        <w:rPr>
          <w:lang w:val="fr-CA"/>
        </w:rPr>
        <w:t>: Exemples de</w:t>
      </w:r>
      <w:r w:rsidR="004D35CD" w:rsidRPr="009C000F">
        <w:rPr>
          <w:lang w:val="fr-CA"/>
        </w:rPr>
        <w:t xml:space="preserve"> </w:t>
      </w:r>
      <w:proofErr w:type="gramStart"/>
      <w:r w:rsidR="004D35CD" w:rsidRPr="009C000F">
        <w:rPr>
          <w:lang w:val="fr-CA"/>
        </w:rPr>
        <w:t>dangers</w:t>
      </w:r>
      <w:r w:rsidRPr="009C000F">
        <w:rPr>
          <w:lang w:val="fr-CA"/>
        </w:rPr>
        <w:t xml:space="preserve"> </w:t>
      </w:r>
      <w:r w:rsidR="00E10FA9" w:rsidRPr="009C000F">
        <w:rPr>
          <w:lang w:val="fr-CA"/>
        </w:rPr>
        <w:t>potentiels</w:t>
      </w:r>
      <w:proofErr w:type="gramEnd"/>
      <w:r w:rsidRPr="009C000F">
        <w:rPr>
          <w:lang w:val="fr-CA"/>
        </w:rPr>
        <w:t xml:space="preserve">, </w:t>
      </w:r>
      <w:r w:rsidR="004D35CD" w:rsidRPr="009C000F">
        <w:rPr>
          <w:lang w:val="fr-CA"/>
        </w:rPr>
        <w:t>petits objets</w:t>
      </w:r>
      <w:r w:rsidRPr="009C000F">
        <w:rPr>
          <w:lang w:val="fr-CA"/>
        </w:rPr>
        <w:t xml:space="preserve">, and </w:t>
      </w:r>
      <w:r w:rsidR="004D35CD" w:rsidRPr="009C000F">
        <w:rPr>
          <w:lang w:val="fr-CA"/>
        </w:rPr>
        <w:t xml:space="preserve">marquages </w:t>
      </w:r>
      <w:proofErr w:type="spellStart"/>
      <w:r w:rsidR="004D35CD" w:rsidRPr="009C000F">
        <w:rPr>
          <w:lang w:val="fr-CA"/>
        </w:rPr>
        <w:t>autocontrastants</w:t>
      </w:r>
      <w:proofErr w:type="spellEnd"/>
      <w:r w:rsidR="004D35CD" w:rsidRPr="009C000F">
        <w:rPr>
          <w:lang w:val="fr-CA"/>
        </w:rPr>
        <w:t xml:space="preserve"> </w:t>
      </w:r>
      <w:r w:rsidR="000864CC" w:rsidRPr="009C000F">
        <w:rPr>
          <w:lang w:val="fr-CA"/>
        </w:rPr>
        <w:t>incluent, sans s’y limiter</w:t>
      </w:r>
      <w:r w:rsidRPr="009C000F">
        <w:rPr>
          <w:lang w:val="fr-CA"/>
        </w:rPr>
        <w:t xml:space="preserve">, </w:t>
      </w:r>
      <w:r w:rsidR="0024698C">
        <w:rPr>
          <w:lang w:val="fr-CA"/>
        </w:rPr>
        <w:t xml:space="preserve">indicateurs visuels sur les marches, surfaces </w:t>
      </w:r>
      <w:r w:rsidR="00E10FA9">
        <w:rPr>
          <w:lang w:val="fr-CA"/>
        </w:rPr>
        <w:t>vitrées</w:t>
      </w:r>
      <w:r w:rsidR="0024698C">
        <w:rPr>
          <w:lang w:val="fr-CA"/>
        </w:rPr>
        <w:t>, interrupteurs et commandes</w:t>
      </w:r>
      <w:r w:rsidRPr="009C000F">
        <w:rPr>
          <w:lang w:val="fr-CA"/>
        </w:rPr>
        <w:t>.</w:t>
      </w:r>
    </w:p>
    <w:p w14:paraId="36F95C3A" w14:textId="622D274D" w:rsidR="00ED7869" w:rsidRPr="002F7CB7" w:rsidRDefault="002F7CB7" w:rsidP="000C41C7">
      <w:pPr>
        <w:rPr>
          <w:lang w:val="fr-CA"/>
        </w:rPr>
      </w:pPr>
      <w:r w:rsidRPr="002F7CB7">
        <w:rPr>
          <w:rFonts w:cs="Arial"/>
          <w:lang w:val="fr-CA"/>
        </w:rPr>
        <w:t>§</w:t>
      </w:r>
      <w:r w:rsidRPr="002F7CB7">
        <w:rPr>
          <w:lang w:val="fr-CA"/>
        </w:rPr>
        <w:t xml:space="preserve">: Un </w:t>
      </w:r>
      <w:r w:rsidR="0018212D" w:rsidRPr="002F7CB7">
        <w:rPr>
          <w:lang w:val="fr-CA"/>
        </w:rPr>
        <w:t>exemple</w:t>
      </w:r>
      <w:r w:rsidRPr="002F7CB7">
        <w:rPr>
          <w:lang w:val="fr-CA"/>
        </w:rPr>
        <w:t xml:space="preserve"> d’information</w:t>
      </w:r>
      <w:r w:rsidR="0018212D">
        <w:rPr>
          <w:lang w:val="fr-CA"/>
        </w:rPr>
        <w:t>s</w:t>
      </w:r>
      <w:r w:rsidRPr="002F7CB7">
        <w:rPr>
          <w:lang w:val="fr-CA"/>
        </w:rPr>
        <w:t xml:space="preserve"> textuel</w:t>
      </w:r>
      <w:r>
        <w:rPr>
          <w:lang w:val="fr-CA"/>
        </w:rPr>
        <w:t>les</w:t>
      </w:r>
      <w:r w:rsidR="0018212D">
        <w:rPr>
          <w:lang w:val="fr-CA"/>
        </w:rPr>
        <w:t xml:space="preserve"> est la signalisation</w:t>
      </w:r>
      <w:r w:rsidRPr="002F7CB7">
        <w:rPr>
          <w:lang w:val="fr-CA"/>
        </w:rPr>
        <w:t>.</w:t>
      </w:r>
    </w:p>
    <w:p w14:paraId="15A8A08C" w14:textId="36A57CD9" w:rsidR="00003902" w:rsidRPr="00E83C38" w:rsidRDefault="00D804DC" w:rsidP="00D804DC">
      <w:pPr>
        <w:pStyle w:val="Heading3"/>
        <w:rPr>
          <w:lang w:val="fr-CA"/>
        </w:rPr>
      </w:pPr>
      <w:bookmarkStart w:id="575" w:name="_Toc219706196"/>
      <w:r w:rsidRPr="00E83C38">
        <w:rPr>
          <w:lang w:val="fr-CA"/>
        </w:rPr>
        <w:lastRenderedPageBreak/>
        <w:t>Contraste de luminance des matériaux brillants</w:t>
      </w:r>
      <w:bookmarkEnd w:id="575"/>
    </w:p>
    <w:p w14:paraId="220DFF5D" w14:textId="2DA8694A" w:rsidR="006958FC" w:rsidRPr="00E83C38" w:rsidRDefault="006958FC" w:rsidP="006958FC">
      <w:pPr>
        <w:rPr>
          <w:lang w:val="fr-CA"/>
        </w:rPr>
      </w:pPr>
      <w:r w:rsidRPr="00E83C38">
        <w:rPr>
          <w:lang w:val="fr-CA"/>
        </w:rPr>
        <w:t>L</w:t>
      </w:r>
      <w:r w:rsidR="007F197F">
        <w:rPr>
          <w:lang w:val="fr-CA"/>
        </w:rPr>
        <w:t>’</w:t>
      </w:r>
      <w:r w:rsidRPr="00E83C38">
        <w:rPr>
          <w:lang w:val="fr-CA"/>
        </w:rPr>
        <w:t>angle de vision d</w:t>
      </w:r>
      <w:r w:rsidR="007F197F">
        <w:rPr>
          <w:lang w:val="fr-CA"/>
        </w:rPr>
        <w:t>’</w:t>
      </w:r>
      <w:r w:rsidRPr="00E83C38">
        <w:rPr>
          <w:lang w:val="fr-CA"/>
        </w:rPr>
        <w:t>une personne, combiné à l</w:t>
      </w:r>
      <w:r w:rsidR="008A2C50">
        <w:rPr>
          <w:lang w:val="fr-CA"/>
        </w:rPr>
        <w:t>’emplacement</w:t>
      </w:r>
      <w:r w:rsidRPr="00E83C38">
        <w:rPr>
          <w:lang w:val="fr-CA"/>
        </w:rPr>
        <w:t xml:space="preserve"> des sources lumineuses et à la luminance des objets réfléchis comme les vêtements, les murs, les luminaires ou les surfaces voisines, influence la luminance d</w:t>
      </w:r>
      <w:r w:rsidR="007F197F">
        <w:rPr>
          <w:lang w:val="fr-CA"/>
        </w:rPr>
        <w:t>’</w:t>
      </w:r>
      <w:r w:rsidRPr="00E83C38">
        <w:rPr>
          <w:lang w:val="fr-CA"/>
        </w:rPr>
        <w:t>une surface brillante. Ces réflexions peuvent entraîner une diminution du contraste de luminance.</w:t>
      </w:r>
    </w:p>
    <w:p w14:paraId="68F55593" w14:textId="77777777" w:rsidR="006958FC" w:rsidRPr="00E83C38" w:rsidRDefault="006958FC" w:rsidP="006958FC">
      <w:pPr>
        <w:rPr>
          <w:lang w:val="fr-CA"/>
        </w:rPr>
      </w:pPr>
      <w:r w:rsidRPr="00E83C38">
        <w:rPr>
          <w:lang w:val="fr-CA"/>
        </w:rPr>
        <w:t>Typiquement, le contraste de luminance est obtenu par la distinction visuelle entre un élément et sa surface environnante. Par exemple, un élément sphérique réfléchit la lumière différemment selon les côtés, créant ainsi des surfaces à luminance élevée et basse.</w:t>
      </w:r>
    </w:p>
    <w:p w14:paraId="25F57C54" w14:textId="63FC734A" w:rsidR="006958FC" w:rsidRPr="00944295" w:rsidRDefault="006958FC" w:rsidP="003F66F0">
      <w:pPr>
        <w:pStyle w:val="ListParagraph"/>
        <w:numPr>
          <w:ilvl w:val="0"/>
          <w:numId w:val="19"/>
        </w:numPr>
        <w:rPr>
          <w:lang w:val="fr-CA"/>
        </w:rPr>
      </w:pPr>
      <w:r w:rsidRPr="00944295">
        <w:rPr>
          <w:lang w:val="fr-CA"/>
        </w:rPr>
        <w:t xml:space="preserve">Le contraste de luminance des matériaux brillants </w:t>
      </w:r>
      <w:r w:rsidR="007C0A25">
        <w:rPr>
          <w:lang w:val="fr-CA"/>
        </w:rPr>
        <w:t>doit</w:t>
      </w:r>
      <w:r w:rsidR="00F1547A">
        <w:rPr>
          <w:lang w:val="fr-CA"/>
        </w:rPr>
        <w:t> </w:t>
      </w:r>
      <w:r w:rsidRPr="00944295">
        <w:rPr>
          <w:lang w:val="fr-CA"/>
        </w:rPr>
        <w:t>:</w:t>
      </w:r>
    </w:p>
    <w:p w14:paraId="55AF63A1" w14:textId="4765D582" w:rsidR="006958FC" w:rsidRPr="006062B7" w:rsidRDefault="006958FC" w:rsidP="003F66F0">
      <w:pPr>
        <w:pStyle w:val="ListParagraph"/>
        <w:numPr>
          <w:ilvl w:val="1"/>
          <w:numId w:val="19"/>
        </w:numPr>
        <w:rPr>
          <w:lang w:val="fr-CA"/>
        </w:rPr>
      </w:pPr>
      <w:proofErr w:type="gramStart"/>
      <w:r w:rsidRPr="00944295">
        <w:rPr>
          <w:lang w:val="fr-CA"/>
        </w:rPr>
        <w:t>répond</w:t>
      </w:r>
      <w:r w:rsidR="00B92835">
        <w:rPr>
          <w:lang w:val="fr-CA"/>
        </w:rPr>
        <w:t>re</w:t>
      </w:r>
      <w:proofErr w:type="gramEnd"/>
      <w:r w:rsidRPr="00944295">
        <w:rPr>
          <w:lang w:val="fr-CA"/>
        </w:rPr>
        <w:t xml:space="preserve"> aux exigences de contraste de luminance spécifiées dans le tableau</w:t>
      </w:r>
      <w:r w:rsidR="003C1DE5">
        <w:rPr>
          <w:lang w:val="fr-CA"/>
        </w:rPr>
        <w:t> </w:t>
      </w:r>
      <w:r w:rsidR="00B55A42">
        <w:fldChar w:fldCharType="begin"/>
      </w:r>
      <w:r w:rsidR="00B55A42" w:rsidRPr="007C0FBA">
        <w:rPr>
          <w:lang w:val="fr-CA"/>
        </w:rPr>
        <w:instrText>HYPERLINK \l "Tableau1"</w:instrText>
      </w:r>
      <w:r w:rsidR="00B55A42">
        <w:fldChar w:fldCharType="separate"/>
      </w:r>
      <w:r w:rsidR="00B55A42" w:rsidRPr="00B55A42">
        <w:rPr>
          <w:rStyle w:val="Hyperlink"/>
          <w:lang w:val="fr-CA"/>
        </w:rPr>
        <w:t>1</w:t>
      </w:r>
      <w:r w:rsidR="00B55A42">
        <w:fldChar w:fldCharType="end"/>
      </w:r>
      <w:r w:rsidR="00B55A42">
        <w:rPr>
          <w:lang w:val="fr-CA"/>
        </w:rPr>
        <w:t xml:space="preserve"> </w:t>
      </w:r>
      <w:r w:rsidRPr="00944295">
        <w:rPr>
          <w:lang w:val="fr-CA"/>
        </w:rPr>
        <w:t>lorsqu</w:t>
      </w:r>
      <w:r w:rsidR="007F197F">
        <w:rPr>
          <w:lang w:val="fr-CA"/>
        </w:rPr>
        <w:t>’</w:t>
      </w:r>
      <w:r w:rsidRPr="00944295">
        <w:rPr>
          <w:lang w:val="fr-CA"/>
        </w:rPr>
        <w:t xml:space="preserve">elles sont appliquées aux éléments arrondis dans les bâtiments, tels que les inscriptions tactiles, les poignées de porte ou les </w:t>
      </w:r>
      <w:r w:rsidR="007376FF">
        <w:rPr>
          <w:lang w:val="fr-CA"/>
        </w:rPr>
        <w:t>mains courantes</w:t>
      </w:r>
      <w:r w:rsidRPr="00944295">
        <w:rPr>
          <w:lang w:val="fr-CA"/>
        </w:rPr>
        <w:t xml:space="preserve"> pour l</w:t>
      </w:r>
      <w:r w:rsidR="00763893">
        <w:rPr>
          <w:lang w:val="fr-CA"/>
        </w:rPr>
        <w:t>’orientation</w:t>
      </w:r>
      <w:r w:rsidRPr="00944295">
        <w:rPr>
          <w:lang w:val="fr-CA"/>
        </w:rPr>
        <w:t xml:space="preserve"> (voir aussi l</w:t>
      </w:r>
      <w:r w:rsidR="00763893">
        <w:rPr>
          <w:lang w:val="fr-CA"/>
        </w:rPr>
        <w:t>’article</w:t>
      </w:r>
      <w:r w:rsidR="003C1DE5">
        <w:rPr>
          <w:lang w:val="fr-CA"/>
        </w:rPr>
        <w:t> </w:t>
      </w:r>
      <w:r w:rsidR="0018777A">
        <w:fldChar w:fldCharType="begin"/>
      </w:r>
      <w:r w:rsidR="0018777A" w:rsidRPr="007C0FBA">
        <w:rPr>
          <w:lang w:val="fr-CA"/>
        </w:rPr>
        <w:instrText>HYPERLINK \l "_General_requirements"</w:instrText>
      </w:r>
      <w:r w:rsidR="0018777A">
        <w:fldChar w:fldCharType="separate"/>
      </w:r>
      <w:r w:rsidR="0018777A">
        <w:rPr>
          <w:rStyle w:val="Hyperlink"/>
          <w:lang w:val="fr-CA"/>
        </w:rPr>
        <w:t>10</w:t>
      </w:r>
      <w:r w:rsidR="007362F8" w:rsidRPr="006062B7">
        <w:rPr>
          <w:rStyle w:val="Hyperlink"/>
          <w:lang w:val="fr-CA"/>
        </w:rPr>
        <w:t>.2.1</w:t>
      </w:r>
      <w:r w:rsidR="0018777A">
        <w:fldChar w:fldCharType="end"/>
      </w:r>
      <w:r w:rsidRPr="006062B7">
        <w:rPr>
          <w:lang w:val="fr-CA"/>
        </w:rPr>
        <w:t>);</w:t>
      </w:r>
    </w:p>
    <w:p w14:paraId="448DEB68" w14:textId="3E25D89F" w:rsidR="006958FC" w:rsidRPr="006062B7" w:rsidRDefault="00B92835" w:rsidP="003F66F0">
      <w:pPr>
        <w:pStyle w:val="ListParagraph"/>
        <w:numPr>
          <w:ilvl w:val="1"/>
          <w:numId w:val="19"/>
        </w:numPr>
        <w:rPr>
          <w:lang w:val="fr-CA"/>
        </w:rPr>
      </w:pPr>
      <w:proofErr w:type="gramStart"/>
      <w:r>
        <w:rPr>
          <w:lang w:val="fr-CA"/>
        </w:rPr>
        <w:t>avoir</w:t>
      </w:r>
      <w:proofErr w:type="gramEnd"/>
      <w:r w:rsidR="006958FC" w:rsidRPr="006062B7">
        <w:rPr>
          <w:lang w:val="fr-CA"/>
        </w:rPr>
        <w:t xml:space="preserve"> un seuil supérieur à celui des matériaux non réfléchissants lorsqu</w:t>
      </w:r>
      <w:r w:rsidR="007F197F">
        <w:rPr>
          <w:lang w:val="fr-CA"/>
        </w:rPr>
        <w:t>’</w:t>
      </w:r>
      <w:r w:rsidR="006958FC" w:rsidRPr="006062B7">
        <w:rPr>
          <w:lang w:val="fr-CA"/>
        </w:rPr>
        <w:t xml:space="preserve">ils sont utilisés comme matériau réfléchissant sur des surfaces clés (voir </w:t>
      </w:r>
      <w:r w:rsidR="006062B7">
        <w:rPr>
          <w:lang w:val="fr-CA"/>
        </w:rPr>
        <w:t>t</w:t>
      </w:r>
      <w:r w:rsidR="006958FC" w:rsidRPr="006062B7">
        <w:rPr>
          <w:lang w:val="fr-CA"/>
        </w:rPr>
        <w:t>ableau</w:t>
      </w:r>
      <w:r w:rsidR="006958FC">
        <w:fldChar w:fldCharType="begin"/>
      </w:r>
      <w:r w:rsidR="006958FC" w:rsidRPr="007C0FBA">
        <w:rPr>
          <w:lang w:val="fr-CA"/>
        </w:rPr>
        <w:instrText>HYPERLINK \l "Tableau2"</w:instrText>
      </w:r>
      <w:r w:rsidR="006958FC">
        <w:fldChar w:fldCharType="separate"/>
      </w:r>
      <w:r w:rsidR="006958FC" w:rsidRPr="0018777A">
        <w:rPr>
          <w:rStyle w:val="Hyperlink"/>
          <w:lang w:val="fr-CA"/>
        </w:rPr>
        <w:t xml:space="preserve"> 2</w:t>
      </w:r>
      <w:r w:rsidR="006958FC">
        <w:fldChar w:fldCharType="end"/>
      </w:r>
      <w:r w:rsidR="006958FC" w:rsidRPr="006062B7">
        <w:rPr>
          <w:lang w:val="fr-CA"/>
        </w:rPr>
        <w:t>); et</w:t>
      </w:r>
    </w:p>
    <w:p w14:paraId="138CDF68" w14:textId="36149F83" w:rsidR="006958FC" w:rsidRDefault="006958FC" w:rsidP="003F66F0">
      <w:pPr>
        <w:pStyle w:val="ListParagraph"/>
        <w:numPr>
          <w:ilvl w:val="1"/>
          <w:numId w:val="19"/>
        </w:numPr>
        <w:rPr>
          <w:lang w:val="fr-CA"/>
        </w:rPr>
      </w:pPr>
      <w:proofErr w:type="gramStart"/>
      <w:r w:rsidRPr="006062B7">
        <w:rPr>
          <w:lang w:val="fr-CA"/>
        </w:rPr>
        <w:t>suiv</w:t>
      </w:r>
      <w:r w:rsidR="00B92835">
        <w:rPr>
          <w:lang w:val="fr-CA"/>
        </w:rPr>
        <w:t>re</w:t>
      </w:r>
      <w:proofErr w:type="gramEnd"/>
      <w:r w:rsidRPr="006062B7">
        <w:rPr>
          <w:lang w:val="fr-CA"/>
        </w:rPr>
        <w:t xml:space="preserve"> les spécifications énoncées sous «</w:t>
      </w:r>
      <w:r w:rsidR="00A92827">
        <w:rPr>
          <w:lang w:val="fr-CA"/>
        </w:rPr>
        <w:t> </w:t>
      </w:r>
      <w:r w:rsidRPr="006062B7">
        <w:rPr>
          <w:lang w:val="fr-CA"/>
        </w:rPr>
        <w:t>Pour les métaux brossés</w:t>
      </w:r>
      <w:r w:rsidR="00A92827">
        <w:rPr>
          <w:lang w:val="fr-CA"/>
        </w:rPr>
        <w:t> </w:t>
      </w:r>
      <w:r w:rsidRPr="006062B7">
        <w:rPr>
          <w:lang w:val="fr-CA"/>
        </w:rPr>
        <w:t xml:space="preserve">» dans le tableau </w:t>
      </w:r>
      <w:r>
        <w:fldChar w:fldCharType="begin"/>
      </w:r>
      <w:r w:rsidRPr="007C0FBA">
        <w:rPr>
          <w:lang w:val="fr-CA"/>
        </w:rPr>
        <w:instrText>HYPERLINK \l "Tableau2"</w:instrText>
      </w:r>
      <w:r>
        <w:fldChar w:fldCharType="separate"/>
      </w:r>
      <w:r w:rsidRPr="0018777A">
        <w:rPr>
          <w:rStyle w:val="Hyperlink"/>
          <w:lang w:val="fr-CA"/>
        </w:rPr>
        <w:t>2</w:t>
      </w:r>
      <w:r>
        <w:fldChar w:fldCharType="end"/>
      </w:r>
      <w:r w:rsidRPr="006062B7">
        <w:rPr>
          <w:lang w:val="fr-CA"/>
        </w:rPr>
        <w:t>, lorsque le métal brossé est utilisé.</w:t>
      </w:r>
    </w:p>
    <w:p w14:paraId="168EFD35" w14:textId="125A2CD4" w:rsidR="001A27A1" w:rsidRPr="00584350" w:rsidRDefault="001A27A1" w:rsidP="003F66F0">
      <w:pPr>
        <w:pStyle w:val="ListParagraph"/>
        <w:numPr>
          <w:ilvl w:val="0"/>
          <w:numId w:val="19"/>
        </w:numPr>
        <w:rPr>
          <w:lang w:val="fr-CA"/>
        </w:rPr>
      </w:pPr>
      <w:r w:rsidRPr="00E83C38">
        <w:rPr>
          <w:lang w:val="fr-CA"/>
        </w:rPr>
        <w:t xml:space="preserve">Les </w:t>
      </w:r>
      <w:proofErr w:type="gramStart"/>
      <w:r w:rsidRPr="00E83C38">
        <w:rPr>
          <w:lang w:val="fr-CA"/>
        </w:rPr>
        <w:t>dangers potentiels</w:t>
      </w:r>
      <w:proofErr w:type="gramEnd"/>
      <w:r w:rsidRPr="00E83C38">
        <w:rPr>
          <w:lang w:val="fr-CA"/>
        </w:rPr>
        <w:t xml:space="preserve"> </w:t>
      </w:r>
      <w:r w:rsidRPr="00F17F14">
        <w:rPr>
          <w:lang w:val="fr-CA"/>
        </w:rPr>
        <w:t>ne doivent pas être signalés à l</w:t>
      </w:r>
      <w:r w:rsidR="007F197F">
        <w:rPr>
          <w:lang w:val="fr-CA"/>
        </w:rPr>
        <w:t>’</w:t>
      </w:r>
      <w:r w:rsidRPr="00F17F14">
        <w:rPr>
          <w:lang w:val="fr-CA"/>
        </w:rPr>
        <w:t>aide d</w:t>
      </w:r>
      <w:r w:rsidR="007F197F">
        <w:rPr>
          <w:lang w:val="fr-CA"/>
        </w:rPr>
        <w:t>’</w:t>
      </w:r>
      <w:r w:rsidRPr="00F17F14">
        <w:rPr>
          <w:lang w:val="fr-CA"/>
        </w:rPr>
        <w:t>indicateurs visuels fabriqués à partir de matériaux très brillants</w:t>
      </w:r>
      <w:r>
        <w:rPr>
          <w:lang w:val="fr-CA"/>
        </w:rPr>
        <w:t>.</w:t>
      </w:r>
    </w:p>
    <w:p w14:paraId="48633C52" w14:textId="2FA9451B" w:rsidR="006958FC" w:rsidRPr="006062B7" w:rsidRDefault="006958FC" w:rsidP="006958FC">
      <w:pPr>
        <w:rPr>
          <w:lang w:val="fr-CA"/>
        </w:rPr>
      </w:pPr>
      <w:r w:rsidRPr="006062B7">
        <w:rPr>
          <w:rStyle w:val="EmphasisUseSparingly"/>
          <w:lang w:val="fr-CA"/>
        </w:rPr>
        <w:t>Note</w:t>
      </w:r>
      <w:r w:rsidR="00F1547A">
        <w:rPr>
          <w:rStyle w:val="EmphasisUseSparingly"/>
          <w:lang w:val="fr-CA"/>
        </w:rPr>
        <w:t> </w:t>
      </w:r>
      <w:r w:rsidRPr="006062B7">
        <w:rPr>
          <w:lang w:val="fr-CA"/>
        </w:rPr>
        <w:t>: Les panneaux rétroéclairés assurent un contraste lumineux suffisant avec les surfaces environnantes en métal brossé, comme les boutons de contrôle.</w:t>
      </w:r>
    </w:p>
    <w:p w14:paraId="3FC68986" w14:textId="02F5A564" w:rsidR="00930FC7" w:rsidRDefault="00333547" w:rsidP="00333547">
      <w:pPr>
        <w:rPr>
          <w:lang w:val="fr-CA"/>
        </w:rPr>
      </w:pPr>
      <w:bookmarkStart w:id="576" w:name="Tableau2"/>
      <w:r w:rsidRPr="000D55DF">
        <w:rPr>
          <w:b/>
          <w:bCs/>
          <w:lang w:val="fr-CA"/>
        </w:rPr>
        <w:lastRenderedPageBreak/>
        <w:t xml:space="preserve">Tableau 2 </w:t>
      </w:r>
      <w:bookmarkEnd w:id="576"/>
      <w:r w:rsidR="000D55DF" w:rsidRPr="000D55DF">
        <w:rPr>
          <w:b/>
          <w:bCs/>
          <w:lang w:val="fr-CA"/>
        </w:rPr>
        <w:t xml:space="preserve">– </w:t>
      </w:r>
      <w:r w:rsidRPr="000D55DF">
        <w:rPr>
          <w:b/>
          <w:bCs/>
          <w:lang w:val="fr-CA"/>
        </w:rPr>
        <w:t xml:space="preserve">Contraste minimal de luminance pour les </w:t>
      </w:r>
      <w:r w:rsidR="00A853C6" w:rsidRPr="000D55DF">
        <w:rPr>
          <w:b/>
          <w:bCs/>
          <w:lang w:val="fr-CA"/>
        </w:rPr>
        <w:t>surfaces brillant</w:t>
      </w:r>
      <w:r w:rsidR="00BB233A">
        <w:rPr>
          <w:b/>
          <w:bCs/>
          <w:lang w:val="fr-CA"/>
        </w:rPr>
        <w:t>e</w:t>
      </w:r>
      <w:r w:rsidR="00A853C6" w:rsidRPr="000D55DF">
        <w:rPr>
          <w:b/>
          <w:bCs/>
          <w:lang w:val="fr-CA"/>
        </w:rPr>
        <w:t xml:space="preserve">s </w:t>
      </w:r>
      <w:r w:rsidR="000D55DF" w:rsidRPr="000D55DF">
        <w:rPr>
          <w:b/>
          <w:bCs/>
          <w:lang w:val="fr-CA"/>
        </w:rPr>
        <w:t>selon la tache visuelle</w:t>
      </w:r>
    </w:p>
    <w:p w14:paraId="40D372A9" w14:textId="02772349" w:rsidR="00F33BD9" w:rsidRDefault="00F33BD9" w:rsidP="00333547">
      <w:pPr>
        <w:rPr>
          <w:lang w:val="fr-CA"/>
        </w:rPr>
      </w:pPr>
      <w:r>
        <w:rPr>
          <w:lang w:val="fr-CA"/>
        </w:rPr>
        <w:t xml:space="preserve">(Voir l’article </w:t>
      </w:r>
      <w:r>
        <w:fldChar w:fldCharType="begin"/>
      </w:r>
      <w:r w:rsidRPr="007C0FBA">
        <w:rPr>
          <w:lang w:val="fr-CA"/>
        </w:rPr>
        <w:instrText>HYPERLINK \l "_General_requirements"</w:instrText>
      </w:r>
      <w:r>
        <w:fldChar w:fldCharType="separate"/>
      </w:r>
      <w:r w:rsidRPr="00F33BD9">
        <w:rPr>
          <w:rStyle w:val="Hyperlink"/>
          <w:lang w:val="fr-CA"/>
        </w:rPr>
        <w:t>10.2.1 i)</w:t>
      </w:r>
      <w:r>
        <w:fldChar w:fldCharType="end"/>
      </w:r>
      <w:r>
        <w:rPr>
          <w:lang w:val="fr-CA"/>
        </w:rPr>
        <w:t>)</w:t>
      </w:r>
    </w:p>
    <w:p w14:paraId="6BD02333" w14:textId="4CED27BF" w:rsidR="00333547" w:rsidRPr="006062B7" w:rsidRDefault="00930FC7" w:rsidP="00333547">
      <w:pPr>
        <w:rPr>
          <w:lang w:val="fr-CA"/>
        </w:rPr>
      </w:pPr>
      <w:r w:rsidRPr="0080353F">
        <w:rPr>
          <w:lang w:val="fr-CA"/>
        </w:rPr>
        <w:t>Ce tableau fournit les va</w:t>
      </w:r>
      <w:r w:rsidR="0080353F" w:rsidRPr="0080353F">
        <w:rPr>
          <w:lang w:val="fr-CA"/>
        </w:rPr>
        <w:t>leurs requises de la valeur mini</w:t>
      </w:r>
      <w:r w:rsidR="0080353F">
        <w:rPr>
          <w:lang w:val="fr-CA"/>
        </w:rPr>
        <w:t xml:space="preserve">male de </w:t>
      </w:r>
      <w:r w:rsidR="00A84331">
        <w:rPr>
          <w:lang w:val="fr-CA"/>
        </w:rPr>
        <w:t>réflectance</w:t>
      </w:r>
      <w:r w:rsidR="0080353F">
        <w:rPr>
          <w:lang w:val="fr-CA"/>
        </w:rPr>
        <w:t xml:space="preserve"> lumineuse (VRL), de contraste de Michelson et de contraste de Weber pour les grandes et petites</w:t>
      </w:r>
      <w:r w:rsidR="00A84331">
        <w:rPr>
          <w:lang w:val="fr-CA"/>
        </w:rPr>
        <w:t xml:space="preserve"> surfaces</w:t>
      </w:r>
      <w:r w:rsidR="008B63F7">
        <w:rPr>
          <w:lang w:val="fr-CA"/>
        </w:rPr>
        <w:t xml:space="preserve"> de métal bross</w:t>
      </w:r>
      <w:r w:rsidR="00A84331">
        <w:rPr>
          <w:rFonts w:cs="Arial"/>
          <w:lang w:val="fr-CA"/>
        </w:rPr>
        <w:t>é</w:t>
      </w:r>
      <w:r w:rsidR="008B63F7">
        <w:rPr>
          <w:lang w:val="fr-CA"/>
        </w:rPr>
        <w:t>.</w:t>
      </w:r>
    </w:p>
    <w:tbl>
      <w:tblPr>
        <w:tblStyle w:val="TableGrid"/>
        <w:tblW w:w="9360" w:type="dxa"/>
        <w:tblLayout w:type="fixed"/>
        <w:tblLook w:val="06A0" w:firstRow="1" w:lastRow="0" w:firstColumn="1" w:lastColumn="0" w:noHBand="1" w:noVBand="1"/>
      </w:tblPr>
      <w:tblGrid>
        <w:gridCol w:w="4854"/>
        <w:gridCol w:w="2070"/>
        <w:gridCol w:w="1350"/>
        <w:gridCol w:w="1086"/>
      </w:tblGrid>
      <w:tr w:rsidR="00AC06B4" w14:paraId="1052755C" w14:textId="77777777" w:rsidTr="00AC06B4">
        <w:trPr>
          <w:cnfStyle w:val="100000000000" w:firstRow="1" w:lastRow="0" w:firstColumn="0" w:lastColumn="0" w:oddVBand="0" w:evenVBand="0" w:oddHBand="0" w:evenHBand="0" w:firstRowFirstColumn="0" w:firstRowLastColumn="0" w:lastRowFirstColumn="0" w:lastRowLastColumn="0"/>
          <w:trHeight w:val="300"/>
        </w:trPr>
        <w:tc>
          <w:tcPr>
            <w:tcW w:w="4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451DD" w14:textId="40BAB29A" w:rsidR="00AC06B4" w:rsidRPr="00A84D11" w:rsidRDefault="00AC06B4" w:rsidP="00AC06B4">
            <w:pPr>
              <w:rPr>
                <w:b w:val="0"/>
                <w:bCs/>
                <w:lang w:val="fr-CA"/>
              </w:rPr>
            </w:pPr>
            <w:r w:rsidRPr="00A84D11">
              <w:rPr>
                <w:lang w:val="fr-CA"/>
              </w:rPr>
              <w:t>Tâche visuelle</w:t>
            </w:r>
            <w:r w:rsidR="00A84D11" w:rsidRPr="00A84D11">
              <w:rPr>
                <w:lang w:val="fr-CA"/>
              </w:rPr>
              <w:t xml:space="preserve"> sur une s</w:t>
            </w:r>
            <w:r w:rsidR="00A84D11">
              <w:rPr>
                <w:lang w:val="fr-CA"/>
              </w:rPr>
              <w:t>urface de</w:t>
            </w:r>
            <w:r w:rsidR="00090207">
              <w:rPr>
                <w:lang w:val="fr-CA"/>
              </w:rPr>
              <w:t xml:space="preserve"> </w:t>
            </w:r>
            <w:r w:rsidR="008002F7">
              <w:rPr>
                <w:lang w:val="fr-CA"/>
              </w:rPr>
              <w:t>métal</w:t>
            </w:r>
            <w:r w:rsidR="00090207">
              <w:rPr>
                <w:lang w:val="fr-CA"/>
              </w:rPr>
              <w:t xml:space="preserve"> bross</w:t>
            </w:r>
            <w:r w:rsidR="008002F7">
              <w:rPr>
                <w:rFonts w:cs="Arial"/>
                <w:lang w:val="fr-CA"/>
              </w:rPr>
              <w:t>é</w:t>
            </w:r>
            <w:r w:rsidR="008002F7">
              <w:rPr>
                <w:lang w:val="fr-CA"/>
              </w:rPr>
              <w:t xml:space="preserve"> </w:t>
            </w:r>
            <w:r w:rsidR="00090207">
              <w:rPr>
                <w:lang w:val="fr-CA"/>
              </w:rPr>
              <w:t>par type de surface</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58E90" w14:textId="236C2C34" w:rsidR="00AC06B4" w:rsidRPr="00AC06B4" w:rsidRDefault="001663FB" w:rsidP="00AC06B4">
            <w:pPr>
              <w:rPr>
                <w:b w:val="0"/>
                <w:bCs/>
                <w:lang w:val="fr-CA"/>
              </w:rPr>
            </w:pPr>
            <w:r>
              <w:rPr>
                <w:lang w:val="fr-CA"/>
              </w:rPr>
              <w:t>VRL</w:t>
            </w:r>
            <w:r w:rsidR="00AC06B4" w:rsidRPr="00AC06B4">
              <w:rPr>
                <w:lang w:val="fr-CA"/>
              </w:rPr>
              <w:t xml:space="preserve"> minimale</w:t>
            </w:r>
            <w:r w:rsidR="00533D39">
              <w:rPr>
                <w:lang w:val="fr-CA"/>
              </w:rPr>
              <w:t>*</w:t>
            </w:r>
            <w:r w:rsidR="00AC06B4" w:rsidRPr="00AC06B4">
              <w:rPr>
                <w:lang w:val="fr-CA"/>
              </w:rPr>
              <w:t xml:space="preserve"> de la surface plus claire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AE6C7" w14:textId="2BB00DDE" w:rsidR="00AC06B4" w:rsidRPr="00AC06B4" w:rsidRDefault="00AC06B4" w:rsidP="00AC06B4">
            <w:pPr>
              <w:rPr>
                <w:b w:val="0"/>
                <w:bCs/>
                <w:lang w:val="fr-CA"/>
              </w:rPr>
            </w:pPr>
            <w:r w:rsidRPr="00AC06B4">
              <w:rPr>
                <w:lang w:val="fr-CA"/>
              </w:rPr>
              <w:t>Cm de contraste de Michelson (%)</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4508A" w14:textId="1C10C834" w:rsidR="00AC06B4" w:rsidRPr="00AC06B4" w:rsidRDefault="00AC06B4" w:rsidP="00AC06B4">
            <w:pPr>
              <w:rPr>
                <w:b w:val="0"/>
                <w:bCs/>
              </w:rPr>
            </w:pPr>
            <w:r w:rsidRPr="007D359E">
              <w:t xml:space="preserve">Weber Contrast </w:t>
            </w:r>
            <w:proofErr w:type="spellStart"/>
            <w:r w:rsidRPr="007D359E">
              <w:t>Cw</w:t>
            </w:r>
            <w:proofErr w:type="spellEnd"/>
            <w:r w:rsidRPr="007D359E">
              <w:t xml:space="preserve"> (%)</w:t>
            </w:r>
          </w:p>
        </w:tc>
      </w:tr>
      <w:tr w:rsidR="00333547" w14:paraId="4C9C315D" w14:textId="77777777" w:rsidTr="00AC06B4">
        <w:trPr>
          <w:trHeight w:val="300"/>
        </w:trPr>
        <w:tc>
          <w:tcPr>
            <w:tcW w:w="4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E59A4" w14:textId="66A429D3" w:rsidR="00333547" w:rsidRPr="00533D39" w:rsidRDefault="00E05397" w:rsidP="00333547">
            <w:pPr>
              <w:rPr>
                <w:lang w:val="fr-CA"/>
              </w:rPr>
            </w:pPr>
            <w:r w:rsidRPr="00533D39">
              <w:rPr>
                <w:lang w:val="fr-CA"/>
              </w:rPr>
              <w:t>Surfaces de grande superficie</w:t>
            </w:r>
            <w:r w:rsidR="00333547" w:rsidRPr="00533D39">
              <w:rPr>
                <w:lang w:val="fr-CA"/>
              </w:rPr>
              <w:t xml:space="preserve">, éléments et composants </w:t>
            </w:r>
            <w:r w:rsidR="002B50C3" w:rsidRPr="00533D39">
              <w:rPr>
                <w:lang w:val="fr-CA"/>
              </w:rPr>
              <w:t>destin</w:t>
            </w:r>
            <w:r w:rsidR="002B50C3" w:rsidRPr="00533D39">
              <w:rPr>
                <w:rFonts w:cs="Arial"/>
                <w:lang w:val="fr-CA"/>
              </w:rPr>
              <w:t>é</w:t>
            </w:r>
            <w:r w:rsidR="002B50C3" w:rsidRPr="00533D39">
              <w:rPr>
                <w:lang w:val="fr-CA"/>
              </w:rPr>
              <w:t>s</w:t>
            </w:r>
            <w:r w:rsidR="009012E4" w:rsidRPr="00533D39">
              <w:rPr>
                <w:lang w:val="fr-CA"/>
              </w:rPr>
              <w:t xml:space="preserve"> </w:t>
            </w:r>
            <w:r w:rsidR="009012E4" w:rsidRPr="00533D39">
              <w:rPr>
                <w:rFonts w:cs="Arial"/>
                <w:lang w:val="fr-CA"/>
              </w:rPr>
              <w:t>à</w:t>
            </w:r>
            <w:r w:rsidR="00333547" w:rsidRPr="00533D39">
              <w:rPr>
                <w:lang w:val="fr-CA"/>
              </w:rPr>
              <w:t xml:space="preserve"> faciliter l</w:t>
            </w:r>
            <w:r w:rsidR="007F197F">
              <w:rPr>
                <w:lang w:val="fr-CA"/>
              </w:rPr>
              <w:t>’</w:t>
            </w:r>
            <w:r w:rsidR="00333547" w:rsidRPr="00533D39">
              <w:rPr>
                <w:lang w:val="fr-CA"/>
              </w:rPr>
              <w:t>orientation</w:t>
            </w:r>
            <w:r w:rsidR="00EA167A">
              <w:rPr>
                <w:rFonts w:cs="Arial"/>
                <w:vertAlign w:val="superscript"/>
                <w:lang w:val="fr-CA"/>
              </w:rPr>
              <w:t>†</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18B33" w14:textId="77777777" w:rsidR="00333547" w:rsidRPr="00533D39" w:rsidRDefault="00333547" w:rsidP="00333547">
            <w:r w:rsidRPr="00533D39">
              <w:t>≥40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D5878" w14:textId="176DA289" w:rsidR="00333547" w:rsidRPr="00533D39" w:rsidRDefault="00333547" w:rsidP="008F0899">
            <w:r w:rsidRPr="00533D39">
              <w:t>≥40</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8DA52" w14:textId="3C49AAAC" w:rsidR="00333547" w:rsidRPr="00533D39" w:rsidRDefault="00333547" w:rsidP="008F0899">
            <w:r w:rsidRPr="00533D39">
              <w:t>≥57</w:t>
            </w:r>
          </w:p>
        </w:tc>
      </w:tr>
      <w:tr w:rsidR="00333547" w14:paraId="38F30088" w14:textId="77777777">
        <w:trPr>
          <w:trHeight w:val="300"/>
        </w:trPr>
        <w:tc>
          <w:tcPr>
            <w:tcW w:w="4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E91C2" w14:textId="4234EAE2" w:rsidR="00333547" w:rsidRPr="00790B31" w:rsidRDefault="00333547" w:rsidP="00333547">
            <w:pPr>
              <w:rPr>
                <w:lang w:val="fr-CA"/>
              </w:rPr>
            </w:pPr>
            <w:r w:rsidRPr="00790B31">
              <w:rPr>
                <w:lang w:val="fr-CA"/>
              </w:rPr>
              <w:t>Petits</w:t>
            </w:r>
            <w:r w:rsidR="003217D7">
              <w:rPr>
                <w:lang w:val="fr-CA"/>
              </w:rPr>
              <w:t xml:space="preserve"> objets</w:t>
            </w:r>
            <w:r w:rsidR="00780985">
              <w:rPr>
                <w:rFonts w:cs="Arial"/>
                <w:vertAlign w:val="superscript"/>
                <w:lang w:val="fr-CA"/>
              </w:rPr>
              <w:t xml:space="preserve"> </w:t>
            </w:r>
            <w:r w:rsidRPr="00790B31">
              <w:rPr>
                <w:lang w:val="fr-CA"/>
              </w:rPr>
              <w:t>nécessaires pour permettre l</w:t>
            </w:r>
            <w:r w:rsidR="007F197F">
              <w:rPr>
                <w:lang w:val="fr-CA"/>
              </w:rPr>
              <w:t>’</w:t>
            </w:r>
            <w:r w:rsidRPr="00790B31">
              <w:rPr>
                <w:lang w:val="fr-CA"/>
              </w:rPr>
              <w:t>utilisation d</w:t>
            </w:r>
            <w:r w:rsidR="003217D7">
              <w:rPr>
                <w:lang w:val="fr-CA"/>
              </w:rPr>
              <w:t>’</w:t>
            </w:r>
            <w:r w:rsidRPr="00790B31">
              <w:rPr>
                <w:lang w:val="fr-CA"/>
              </w:rPr>
              <w:t>éléments du bâtiment</w:t>
            </w:r>
            <w:r w:rsidR="00EA167A">
              <w:rPr>
                <w:rFonts w:cs="Arial"/>
                <w:vertAlign w:val="superscript"/>
                <w:lang w:val="fr-CA"/>
              </w:rPr>
              <w:t>‡</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C0D9B" w14:textId="563A1C92" w:rsidR="00333547" w:rsidRPr="002977F3" w:rsidRDefault="00333547" w:rsidP="008F0899">
            <w:r w:rsidRPr="002977F3">
              <w:t>≥70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0F856" w14:textId="4E9566BC" w:rsidR="00333547" w:rsidRPr="002977F3" w:rsidRDefault="00333547" w:rsidP="008F0899">
            <w:r w:rsidRPr="002977F3">
              <w:t>≥70</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CF3D6" w14:textId="6C0953D4" w:rsidR="00333547" w:rsidRPr="002977F3" w:rsidRDefault="00333547" w:rsidP="008F0899">
            <w:r w:rsidRPr="002977F3">
              <w:t>≥82</w:t>
            </w:r>
          </w:p>
        </w:tc>
      </w:tr>
    </w:tbl>
    <w:p w14:paraId="2C89EEEE" w14:textId="16B09DBE" w:rsidR="0072773E" w:rsidRDefault="0072773E" w:rsidP="0072773E">
      <w:pPr>
        <w:rPr>
          <w:lang w:val="fr-CA"/>
        </w:rPr>
      </w:pPr>
      <w:bookmarkStart w:id="577" w:name="_Colour_choice"/>
      <w:bookmarkEnd w:id="577"/>
      <w:r>
        <w:rPr>
          <w:lang w:val="fr-CA"/>
        </w:rPr>
        <w:t>*</w:t>
      </w:r>
      <w:r w:rsidRPr="00192BBE">
        <w:rPr>
          <w:lang w:val="fr-CA"/>
        </w:rPr>
        <w:t>V</w:t>
      </w:r>
      <w:r>
        <w:rPr>
          <w:lang w:val="fr-CA"/>
        </w:rPr>
        <w:t>RL</w:t>
      </w:r>
      <w:r w:rsidR="00F1547A">
        <w:rPr>
          <w:lang w:val="fr-CA"/>
        </w:rPr>
        <w:t> </w:t>
      </w:r>
      <w:r w:rsidRPr="00303A08">
        <w:rPr>
          <w:lang w:val="fr-CA"/>
        </w:rPr>
        <w:t xml:space="preserve">: La valeur de réflectance </w:t>
      </w:r>
      <w:r>
        <w:rPr>
          <w:rFonts w:cs="Arial"/>
          <w:lang w:val="fr-CA"/>
        </w:rPr>
        <w:t>à</w:t>
      </w:r>
      <w:r>
        <w:rPr>
          <w:lang w:val="fr-CA"/>
        </w:rPr>
        <w:t xml:space="preserve"> la </w:t>
      </w:r>
      <w:r w:rsidRPr="00192BBE">
        <w:rPr>
          <w:lang w:val="fr-CA"/>
        </w:rPr>
        <w:t>lumi</w:t>
      </w:r>
      <w:r>
        <w:rPr>
          <w:lang w:val="fr-CA"/>
        </w:rPr>
        <w:t>ère</w:t>
      </w:r>
      <w:r w:rsidRPr="00303A08">
        <w:rPr>
          <w:lang w:val="fr-CA"/>
        </w:rPr>
        <w:t xml:space="preserve">, ou valeur CIE Y, est exprimée sur une échelle de 0 à 100, </w:t>
      </w:r>
      <w:r>
        <w:rPr>
          <w:lang w:val="fr-CA"/>
        </w:rPr>
        <w:t xml:space="preserve">le noir pur ayant </w:t>
      </w:r>
      <w:r w:rsidRPr="00303A08">
        <w:rPr>
          <w:lang w:val="fr-CA"/>
        </w:rPr>
        <w:t xml:space="preserve">une valeur de 0 </w:t>
      </w:r>
      <w:r>
        <w:rPr>
          <w:lang w:val="fr-CA"/>
        </w:rPr>
        <w:t xml:space="preserve">et le blanc ayant </w:t>
      </w:r>
      <w:r w:rsidRPr="00303A08">
        <w:rPr>
          <w:lang w:val="fr-CA"/>
        </w:rPr>
        <w:t>une valeur de 100</w:t>
      </w:r>
      <w:r w:rsidR="003B2C52">
        <w:rPr>
          <w:lang w:val="fr-CA"/>
        </w:rPr>
        <w:t> </w:t>
      </w:r>
      <w:r w:rsidRPr="00303A08">
        <w:rPr>
          <w:lang w:val="fr-CA"/>
        </w:rPr>
        <w:t>points.</w:t>
      </w:r>
    </w:p>
    <w:p w14:paraId="75045A64" w14:textId="78FB5B5F" w:rsidR="00DE73F1" w:rsidRPr="007533FF" w:rsidRDefault="00DE73F1" w:rsidP="00DE73F1">
      <w:pPr>
        <w:rPr>
          <w:lang w:val="fr-CA"/>
        </w:rPr>
      </w:pPr>
      <w:r w:rsidRPr="007533FF">
        <w:rPr>
          <w:rFonts w:cs="Arial"/>
          <w:lang w:val="fr-CA"/>
        </w:rPr>
        <w:t>†</w:t>
      </w:r>
      <w:r w:rsidRPr="007533FF">
        <w:rPr>
          <w:lang w:val="fr-CA"/>
        </w:rPr>
        <w:t>: Ex</w:t>
      </w:r>
      <w:r w:rsidR="00172986" w:rsidRPr="007533FF">
        <w:rPr>
          <w:lang w:val="fr-CA"/>
        </w:rPr>
        <w:t>e</w:t>
      </w:r>
      <w:r w:rsidRPr="007533FF">
        <w:rPr>
          <w:lang w:val="fr-CA"/>
        </w:rPr>
        <w:t xml:space="preserve">mples </w:t>
      </w:r>
      <w:r w:rsidR="00172986" w:rsidRPr="007533FF">
        <w:rPr>
          <w:lang w:val="fr-CA"/>
        </w:rPr>
        <w:t>de surfaces de grande superfi</w:t>
      </w:r>
      <w:r w:rsidR="00BE06F4">
        <w:rPr>
          <w:lang w:val="fr-CA"/>
        </w:rPr>
        <w:t>ci</w:t>
      </w:r>
      <w:r w:rsidR="00172986" w:rsidRPr="007533FF">
        <w:rPr>
          <w:lang w:val="fr-CA"/>
        </w:rPr>
        <w:t xml:space="preserve">e et </w:t>
      </w:r>
      <w:r w:rsidR="004942E7" w:rsidRPr="007533FF">
        <w:rPr>
          <w:lang w:val="fr-CA"/>
        </w:rPr>
        <w:t>éléments</w:t>
      </w:r>
      <w:r w:rsidR="00172986" w:rsidRPr="007533FF">
        <w:rPr>
          <w:lang w:val="fr-CA"/>
        </w:rPr>
        <w:t xml:space="preserve"> </w:t>
      </w:r>
      <w:r w:rsidR="007533FF" w:rsidRPr="007533FF">
        <w:rPr>
          <w:lang w:val="fr-CA"/>
        </w:rPr>
        <w:t>et composants de</w:t>
      </w:r>
      <w:r w:rsidR="007533FF">
        <w:rPr>
          <w:lang w:val="fr-CA"/>
        </w:rPr>
        <w:t>stine à faciliter l’orientation</w:t>
      </w:r>
      <w:r w:rsidRPr="007533FF">
        <w:rPr>
          <w:lang w:val="fr-CA"/>
        </w:rPr>
        <w:t xml:space="preserve"> </w:t>
      </w:r>
      <w:r w:rsidR="004942E7">
        <w:rPr>
          <w:lang w:val="fr-CA"/>
        </w:rPr>
        <w:t xml:space="preserve">incluent, sans s’y limiter </w:t>
      </w:r>
      <w:r w:rsidR="00D52019">
        <w:rPr>
          <w:lang w:val="fr-CA"/>
        </w:rPr>
        <w:t xml:space="preserve">les murs, les planchers, les portes, </w:t>
      </w:r>
      <w:r w:rsidR="008F3F34">
        <w:rPr>
          <w:lang w:val="fr-CA"/>
        </w:rPr>
        <w:t xml:space="preserve">socles de commandes, </w:t>
      </w:r>
      <w:r w:rsidR="00344773">
        <w:rPr>
          <w:lang w:val="fr-CA"/>
        </w:rPr>
        <w:t xml:space="preserve">et </w:t>
      </w:r>
      <w:r w:rsidR="008F3F34">
        <w:rPr>
          <w:lang w:val="fr-CA"/>
        </w:rPr>
        <w:t>indicateurs tactiles de surface de marche.</w:t>
      </w:r>
    </w:p>
    <w:p w14:paraId="430CA10B" w14:textId="40D2F9ED" w:rsidR="00DE73F1" w:rsidRPr="0050289C" w:rsidRDefault="00DE73F1" w:rsidP="00DE73F1">
      <w:pPr>
        <w:rPr>
          <w:lang w:val="fr-CA"/>
        </w:rPr>
      </w:pPr>
      <w:r w:rsidRPr="0050289C">
        <w:rPr>
          <w:rFonts w:cs="Arial"/>
          <w:lang w:val="fr-CA"/>
        </w:rPr>
        <w:t>‡</w:t>
      </w:r>
      <w:r w:rsidRPr="0050289C">
        <w:rPr>
          <w:lang w:val="fr-CA"/>
        </w:rPr>
        <w:t>: Ex</w:t>
      </w:r>
      <w:r w:rsidR="00BE06F4" w:rsidRPr="0050289C">
        <w:rPr>
          <w:lang w:val="fr-CA"/>
        </w:rPr>
        <w:t>e</w:t>
      </w:r>
      <w:r w:rsidRPr="0050289C">
        <w:rPr>
          <w:lang w:val="fr-CA"/>
        </w:rPr>
        <w:t xml:space="preserve">mples </w:t>
      </w:r>
      <w:r w:rsidR="00BE06F4" w:rsidRPr="0050289C">
        <w:rPr>
          <w:lang w:val="fr-CA"/>
        </w:rPr>
        <w:t xml:space="preserve">des objets </w:t>
      </w:r>
      <w:r w:rsidR="009E7213" w:rsidRPr="0050289C">
        <w:rPr>
          <w:lang w:val="fr-CA"/>
        </w:rPr>
        <w:t>nécessaires</w:t>
      </w:r>
      <w:r w:rsidR="00BE06F4" w:rsidRPr="0050289C">
        <w:rPr>
          <w:lang w:val="fr-CA"/>
        </w:rPr>
        <w:t xml:space="preserve"> pour permettre l’utilisation </w:t>
      </w:r>
      <w:r w:rsidR="00955852" w:rsidRPr="0050289C">
        <w:rPr>
          <w:lang w:val="fr-CA"/>
        </w:rPr>
        <w:t xml:space="preserve">des </w:t>
      </w:r>
      <w:r w:rsidR="009E7213" w:rsidRPr="0050289C">
        <w:rPr>
          <w:lang w:val="fr-CA"/>
        </w:rPr>
        <w:t>éléments</w:t>
      </w:r>
      <w:r w:rsidR="00955852" w:rsidRPr="0050289C">
        <w:rPr>
          <w:lang w:val="fr-CA"/>
        </w:rPr>
        <w:t xml:space="preserve"> de construction incluent, sans s’y limiter, </w:t>
      </w:r>
      <w:r w:rsidR="0050289C">
        <w:rPr>
          <w:lang w:val="fr-CA"/>
        </w:rPr>
        <w:t>des boutons de co</w:t>
      </w:r>
      <w:r w:rsidR="007F13E7">
        <w:rPr>
          <w:lang w:val="fr-CA"/>
        </w:rPr>
        <w:t>mmande</w:t>
      </w:r>
      <w:r w:rsidR="0050289C">
        <w:rPr>
          <w:lang w:val="fr-CA"/>
        </w:rPr>
        <w:t xml:space="preserve"> et des inscriptions sur les commandes.</w:t>
      </w:r>
    </w:p>
    <w:p w14:paraId="0A04CB9F" w14:textId="77777777" w:rsidR="00DE73F1" w:rsidRPr="0050289C" w:rsidRDefault="00DE73F1" w:rsidP="0072773E">
      <w:pPr>
        <w:rPr>
          <w:lang w:val="fr-CA"/>
        </w:rPr>
      </w:pPr>
    </w:p>
    <w:p w14:paraId="65B6A9F3" w14:textId="5C1305E4" w:rsidR="006958FC" w:rsidRDefault="00333547" w:rsidP="00333547">
      <w:pPr>
        <w:pStyle w:val="Heading2"/>
      </w:pPr>
      <w:bookmarkStart w:id="578" w:name="_Choix_des_couleurs"/>
      <w:bookmarkStart w:id="579" w:name="_Toc219706197"/>
      <w:bookmarkEnd w:id="578"/>
      <w:r>
        <w:lastRenderedPageBreak/>
        <w:t>Choix des couleurs</w:t>
      </w:r>
      <w:bookmarkEnd w:id="579"/>
    </w:p>
    <w:p w14:paraId="54020973" w14:textId="447C155D" w:rsidR="00111E0E" w:rsidRPr="005912CA" w:rsidRDefault="006A1184" w:rsidP="00D65747">
      <w:pPr>
        <w:rPr>
          <w:lang w:val="fr-CA"/>
        </w:rPr>
      </w:pPr>
      <w:r w:rsidRPr="00111E0E">
        <w:rPr>
          <w:lang w:val="fr-CA"/>
        </w:rPr>
        <w:t>Si une caractéristique d</w:t>
      </w:r>
      <w:r w:rsidR="007F197F">
        <w:rPr>
          <w:lang w:val="fr-CA"/>
        </w:rPr>
        <w:t>’</w:t>
      </w:r>
      <w:r w:rsidRPr="00111E0E">
        <w:rPr>
          <w:lang w:val="fr-CA"/>
        </w:rPr>
        <w:t>un bâtiment doit se démarquer, la meilleure façon d</w:t>
      </w:r>
      <w:r w:rsidR="007F197F">
        <w:rPr>
          <w:lang w:val="fr-CA"/>
        </w:rPr>
        <w:t>’</w:t>
      </w:r>
      <w:r w:rsidRPr="00111E0E">
        <w:rPr>
          <w:lang w:val="fr-CA"/>
        </w:rPr>
        <w:t>y parvenir est d</w:t>
      </w:r>
      <w:r w:rsidR="007F197F">
        <w:rPr>
          <w:lang w:val="fr-CA"/>
        </w:rPr>
        <w:t>’</w:t>
      </w:r>
      <w:r w:rsidRPr="00111E0E">
        <w:rPr>
          <w:lang w:val="fr-CA"/>
        </w:rPr>
        <w:t>utiliser des couleurs vives qui contrastent avec les surfaces adjacentes.</w:t>
      </w:r>
    </w:p>
    <w:p w14:paraId="19097433" w14:textId="708878B6" w:rsidR="006A1184" w:rsidRPr="007E6AFD" w:rsidRDefault="006A1184" w:rsidP="006A1184">
      <w:r>
        <w:t xml:space="preserve">Les couleurs </w:t>
      </w:r>
      <w:proofErr w:type="spellStart"/>
      <w:proofErr w:type="gramStart"/>
      <w:r>
        <w:t>doivent</w:t>
      </w:r>
      <w:proofErr w:type="spellEnd"/>
      <w:r w:rsidR="00F1547A">
        <w:t> </w:t>
      </w:r>
      <w:r>
        <w:t>:</w:t>
      </w:r>
      <w:proofErr w:type="gramEnd"/>
    </w:p>
    <w:p w14:paraId="1ABB7C75" w14:textId="05BABBD0" w:rsidR="006A1184" w:rsidRPr="00955F62" w:rsidRDefault="006A1184" w:rsidP="003F66F0">
      <w:pPr>
        <w:pStyle w:val="ListRef"/>
        <w:numPr>
          <w:ilvl w:val="0"/>
          <w:numId w:val="20"/>
        </w:numPr>
        <w:rPr>
          <w:lang w:val="fr-CA"/>
        </w:rPr>
      </w:pPr>
      <w:proofErr w:type="gramStart"/>
      <w:r w:rsidRPr="00955F62">
        <w:rPr>
          <w:lang w:val="fr-CA"/>
        </w:rPr>
        <w:t>être</w:t>
      </w:r>
      <w:proofErr w:type="gramEnd"/>
      <w:r w:rsidRPr="00955F62">
        <w:rPr>
          <w:lang w:val="fr-CA"/>
        </w:rPr>
        <w:t xml:space="preserve"> utilisé pour aider à identifier les portes, les étages ou les départements à l</w:t>
      </w:r>
      <w:r w:rsidR="007F197F">
        <w:rPr>
          <w:lang w:val="fr-CA"/>
        </w:rPr>
        <w:t>’</w:t>
      </w:r>
      <w:r w:rsidRPr="00955F62">
        <w:rPr>
          <w:lang w:val="fr-CA"/>
        </w:rPr>
        <w:t>intérieur d</w:t>
      </w:r>
      <w:r w:rsidR="007F197F">
        <w:rPr>
          <w:lang w:val="fr-CA"/>
        </w:rPr>
        <w:t>’</w:t>
      </w:r>
      <w:r w:rsidRPr="00955F62">
        <w:rPr>
          <w:lang w:val="fr-CA"/>
        </w:rPr>
        <w:t>un bâtiment et pour soutenir l</w:t>
      </w:r>
      <w:r w:rsidR="007F197F">
        <w:rPr>
          <w:lang w:val="fr-CA"/>
        </w:rPr>
        <w:t>’</w:t>
      </w:r>
      <w:r w:rsidRPr="00955F62">
        <w:rPr>
          <w:lang w:val="fr-CA"/>
        </w:rPr>
        <w:t>orientation;</w:t>
      </w:r>
    </w:p>
    <w:p w14:paraId="25A24343" w14:textId="065EFA4C" w:rsidR="006A1184" w:rsidRPr="00955F62" w:rsidRDefault="006A1184" w:rsidP="003F66F0">
      <w:pPr>
        <w:pStyle w:val="ListRef"/>
        <w:numPr>
          <w:ilvl w:val="0"/>
          <w:numId w:val="20"/>
        </w:numPr>
        <w:rPr>
          <w:lang w:val="fr-CA"/>
        </w:rPr>
      </w:pPr>
      <w:proofErr w:type="gramStart"/>
      <w:r w:rsidRPr="00955F62">
        <w:rPr>
          <w:lang w:val="fr-CA"/>
        </w:rPr>
        <w:t>être</w:t>
      </w:r>
      <w:proofErr w:type="gramEnd"/>
      <w:r w:rsidRPr="00955F62">
        <w:rPr>
          <w:lang w:val="fr-CA"/>
        </w:rPr>
        <w:t xml:space="preserve"> lumineux ou avoir un ton très contrasté, ou les deux pour aider à l</w:t>
      </w:r>
      <w:r w:rsidR="007F197F">
        <w:rPr>
          <w:lang w:val="fr-CA"/>
        </w:rPr>
        <w:t>’</w:t>
      </w:r>
      <w:r w:rsidRPr="00955F62">
        <w:rPr>
          <w:lang w:val="fr-CA"/>
        </w:rPr>
        <w:t>orientation (p</w:t>
      </w:r>
      <w:r w:rsidR="008572F1">
        <w:rPr>
          <w:lang w:val="fr-CA"/>
        </w:rPr>
        <w:t>.</w:t>
      </w:r>
      <w:r w:rsidR="008B5E03">
        <w:rPr>
          <w:lang w:val="fr-CA"/>
        </w:rPr>
        <w:t xml:space="preserve"> </w:t>
      </w:r>
      <w:r w:rsidR="008572F1">
        <w:rPr>
          <w:lang w:val="fr-CA"/>
        </w:rPr>
        <w:t>e</w:t>
      </w:r>
      <w:r w:rsidR="007A456A">
        <w:rPr>
          <w:lang w:val="fr-CA"/>
        </w:rPr>
        <w:t xml:space="preserve">x., </w:t>
      </w:r>
      <w:r w:rsidR="00052915">
        <w:rPr>
          <w:lang w:val="fr-CA"/>
        </w:rPr>
        <w:t>lorsqu’</w:t>
      </w:r>
      <w:r w:rsidR="00422CC9">
        <w:rPr>
          <w:lang w:val="fr-CA"/>
        </w:rPr>
        <w:t xml:space="preserve">elle </w:t>
      </w:r>
      <w:r w:rsidR="00DC0114">
        <w:rPr>
          <w:lang w:val="fr-CA"/>
        </w:rPr>
        <w:t>est</w:t>
      </w:r>
      <w:r w:rsidRPr="00955F62">
        <w:rPr>
          <w:lang w:val="fr-CA"/>
        </w:rPr>
        <w:t xml:space="preserve"> </w:t>
      </w:r>
      <w:r w:rsidR="00DC0114">
        <w:rPr>
          <w:lang w:val="fr-CA"/>
        </w:rPr>
        <w:t xml:space="preserve">utilisée </w:t>
      </w:r>
      <w:r w:rsidRPr="00955F62">
        <w:rPr>
          <w:lang w:val="fr-CA"/>
        </w:rPr>
        <w:t>dans le cadre d</w:t>
      </w:r>
      <w:r w:rsidR="007F197F">
        <w:rPr>
          <w:lang w:val="fr-CA"/>
        </w:rPr>
        <w:t>’</w:t>
      </w:r>
      <w:r w:rsidRPr="00955F62">
        <w:rPr>
          <w:lang w:val="fr-CA"/>
        </w:rPr>
        <w:t>une bande de signalisation située sur les murs à hauteur des yeux, cette bande</w:t>
      </w:r>
      <w:r w:rsidR="00485C2E">
        <w:rPr>
          <w:lang w:val="fr-CA"/>
        </w:rPr>
        <w:t xml:space="preserve"> est plus facile</w:t>
      </w:r>
      <w:r w:rsidR="002D0037">
        <w:rPr>
          <w:lang w:val="fr-CA"/>
        </w:rPr>
        <w:t xml:space="preserve"> à suivre</w:t>
      </w:r>
      <w:r w:rsidR="00D061C9">
        <w:rPr>
          <w:lang w:val="fr-CA"/>
        </w:rPr>
        <w:t xml:space="preserve"> </w:t>
      </w:r>
      <w:r w:rsidR="002D0037">
        <w:rPr>
          <w:lang w:val="fr-CA"/>
        </w:rPr>
        <w:t>qu’</w:t>
      </w:r>
      <w:r w:rsidR="009166D8">
        <w:rPr>
          <w:lang w:val="fr-CA"/>
        </w:rPr>
        <w:t>une couleur murale m</w:t>
      </w:r>
      <w:r w:rsidRPr="00955F62">
        <w:rPr>
          <w:lang w:val="fr-CA"/>
        </w:rPr>
        <w:t>onolithique et peut servir d</w:t>
      </w:r>
      <w:r w:rsidR="00042BB4">
        <w:rPr>
          <w:lang w:val="fr-CA"/>
        </w:rPr>
        <w:t>’indice</w:t>
      </w:r>
      <w:r w:rsidRPr="00955F62">
        <w:rPr>
          <w:lang w:val="fr-CA"/>
        </w:rPr>
        <w:t xml:space="preserve"> visuel pour d</w:t>
      </w:r>
      <w:r w:rsidR="007F197F">
        <w:rPr>
          <w:lang w:val="fr-CA"/>
        </w:rPr>
        <w:t>’</w:t>
      </w:r>
      <w:r w:rsidRPr="00955F62">
        <w:rPr>
          <w:lang w:val="fr-CA"/>
        </w:rPr>
        <w:t>autres</w:t>
      </w:r>
      <w:r w:rsidR="006B12FF">
        <w:rPr>
          <w:lang w:val="fr-CA"/>
        </w:rPr>
        <w:t xml:space="preserve"> panneaux</w:t>
      </w:r>
      <w:r w:rsidRPr="00955F62">
        <w:rPr>
          <w:lang w:val="fr-CA"/>
        </w:rPr>
        <w:t xml:space="preserve"> essentiels); et</w:t>
      </w:r>
    </w:p>
    <w:p w14:paraId="5CFB2200" w14:textId="4C17F54E" w:rsidR="006A1184" w:rsidRPr="00955F62" w:rsidRDefault="00FD25D3" w:rsidP="003F66F0">
      <w:pPr>
        <w:pStyle w:val="ListRef"/>
        <w:numPr>
          <w:ilvl w:val="0"/>
          <w:numId w:val="20"/>
        </w:numPr>
        <w:rPr>
          <w:lang w:val="fr-CA"/>
        </w:rPr>
      </w:pPr>
      <w:proofErr w:type="gramStart"/>
      <w:r>
        <w:rPr>
          <w:lang w:val="fr-CA"/>
        </w:rPr>
        <w:t>a</w:t>
      </w:r>
      <w:r w:rsidR="006A1184" w:rsidRPr="00955F62">
        <w:rPr>
          <w:lang w:val="fr-CA"/>
        </w:rPr>
        <w:t>voir</w:t>
      </w:r>
      <w:proofErr w:type="gramEnd"/>
      <w:r w:rsidR="006A1184" w:rsidRPr="00955F62">
        <w:rPr>
          <w:lang w:val="fr-CA"/>
        </w:rPr>
        <w:t xml:space="preserve"> un fort contraste avec les murs ou les portes pour souligner les changements de direction, la fin des corridors</w:t>
      </w:r>
      <w:r>
        <w:rPr>
          <w:lang w:val="fr-CA"/>
        </w:rPr>
        <w:t>,</w:t>
      </w:r>
      <w:r w:rsidR="006A1184" w:rsidRPr="00955F62">
        <w:rPr>
          <w:lang w:val="fr-CA"/>
        </w:rPr>
        <w:t xml:space="preserve"> ou les </w:t>
      </w:r>
      <w:r w:rsidR="00DB24A0">
        <w:rPr>
          <w:lang w:val="fr-CA"/>
        </w:rPr>
        <w:t>aires</w:t>
      </w:r>
      <w:r w:rsidR="006A1184" w:rsidRPr="00955F62">
        <w:rPr>
          <w:lang w:val="fr-CA"/>
        </w:rPr>
        <w:t xml:space="preserve"> ouvertes aux intersections, définissant visuellement les murs d</w:t>
      </w:r>
      <w:r w:rsidR="007F197F">
        <w:rPr>
          <w:lang w:val="fr-CA"/>
        </w:rPr>
        <w:t>’</w:t>
      </w:r>
      <w:r w:rsidR="006A1184" w:rsidRPr="00955F62">
        <w:rPr>
          <w:lang w:val="fr-CA"/>
        </w:rPr>
        <w:t>extrémité ou les murs de retour dans les longs corridors.</w:t>
      </w:r>
    </w:p>
    <w:p w14:paraId="295450D7" w14:textId="7E44AC8A" w:rsidR="006A1184" w:rsidRPr="00955F62" w:rsidRDefault="00B068E7" w:rsidP="00D143C3">
      <w:pPr>
        <w:pStyle w:val="ListRef"/>
        <w:ind w:left="0" w:firstLine="0"/>
        <w:rPr>
          <w:lang w:val="fr-CA"/>
        </w:rPr>
      </w:pPr>
      <w:r>
        <w:rPr>
          <w:rStyle w:val="EmphasisUseSparingly"/>
          <w:lang w:val="fr-CA"/>
        </w:rPr>
        <w:t>Remarque</w:t>
      </w:r>
      <w:r w:rsidR="006A1184" w:rsidRPr="00955F62">
        <w:rPr>
          <w:rStyle w:val="EmphasisUseSparingly"/>
          <w:lang w:val="fr-CA"/>
        </w:rPr>
        <w:t xml:space="preserve"> 1</w:t>
      </w:r>
      <w:r w:rsidR="00F1547A">
        <w:rPr>
          <w:rStyle w:val="EmphasisUseSparingly"/>
          <w:lang w:val="fr-CA"/>
        </w:rPr>
        <w:t> </w:t>
      </w:r>
      <w:r w:rsidR="006A1184" w:rsidRPr="00955F62">
        <w:rPr>
          <w:rStyle w:val="EmphasisUseSparingly"/>
          <w:lang w:val="fr-CA"/>
        </w:rPr>
        <w:t xml:space="preserve">: </w:t>
      </w:r>
      <w:r w:rsidR="006A1184" w:rsidRPr="00955F62">
        <w:rPr>
          <w:lang w:val="fr-CA"/>
        </w:rPr>
        <w:t xml:space="preserve">Lors de la combinaison des couleurs, les </w:t>
      </w:r>
      <w:r w:rsidR="008C5A7B">
        <w:rPr>
          <w:lang w:val="fr-CA"/>
        </w:rPr>
        <w:t>teintes</w:t>
      </w:r>
      <w:r w:rsidR="006A1184" w:rsidRPr="00955F62">
        <w:rPr>
          <w:lang w:val="fr-CA"/>
        </w:rPr>
        <w:t xml:space="preserve"> plus foncées </w:t>
      </w:r>
      <w:r w:rsidR="008C5A7B">
        <w:rPr>
          <w:lang w:val="fr-CA"/>
        </w:rPr>
        <w:t xml:space="preserve">situées aux extrémités </w:t>
      </w:r>
      <w:r w:rsidR="006A1184" w:rsidRPr="00955F62">
        <w:rPr>
          <w:lang w:val="fr-CA"/>
        </w:rPr>
        <w:t>du spectre (comme le violet, le bleu et le rouge) doivent être associées à des teintes plus vives du spectre central (comme le jaune et le vert).</w:t>
      </w:r>
    </w:p>
    <w:p w14:paraId="22ADFEBB" w14:textId="649116C0" w:rsidR="006A1184" w:rsidRPr="00955F62" w:rsidRDefault="00613415" w:rsidP="00D143C3">
      <w:pPr>
        <w:pStyle w:val="ListRef"/>
        <w:ind w:left="0" w:firstLine="0"/>
        <w:rPr>
          <w:lang w:val="fr-CA"/>
        </w:rPr>
      </w:pPr>
      <w:r>
        <w:rPr>
          <w:rStyle w:val="EmphasisUseSparingly"/>
          <w:lang w:val="fr-CA"/>
        </w:rPr>
        <w:t>Remarque</w:t>
      </w:r>
      <w:r w:rsidR="006A1184" w:rsidRPr="00955F62">
        <w:rPr>
          <w:rStyle w:val="EmphasisUseSparingly"/>
          <w:lang w:val="fr-CA"/>
        </w:rPr>
        <w:t xml:space="preserve"> 2</w:t>
      </w:r>
      <w:r w:rsidR="00F1547A">
        <w:rPr>
          <w:rStyle w:val="EmphasisUseSparingly"/>
          <w:lang w:val="fr-CA"/>
        </w:rPr>
        <w:t> </w:t>
      </w:r>
      <w:r w:rsidR="006A1184" w:rsidRPr="00955F62">
        <w:rPr>
          <w:lang w:val="fr-CA"/>
        </w:rPr>
        <w:t>: Les associations de couleurs comme le rouge avec le vert ou le bleu avec le jaune doivent être évitées lorsque leurs teintes ont une luminosité ou une intensité comparable.</w:t>
      </w:r>
    </w:p>
    <w:p w14:paraId="08120F5F" w14:textId="56B070E5" w:rsidR="006A1184" w:rsidRPr="00955F62" w:rsidRDefault="004761A3" w:rsidP="00D143C3">
      <w:pPr>
        <w:pStyle w:val="ListRef"/>
        <w:ind w:left="0" w:firstLine="0"/>
        <w:rPr>
          <w:lang w:val="fr-CA"/>
        </w:rPr>
      </w:pPr>
      <w:r>
        <w:rPr>
          <w:rStyle w:val="EmphasisUseSparingly"/>
          <w:lang w:val="fr-CA"/>
        </w:rPr>
        <w:t>Remarque</w:t>
      </w:r>
      <w:r w:rsidR="006A1184" w:rsidRPr="00955F62">
        <w:rPr>
          <w:rStyle w:val="EmphasisUseSparingly"/>
          <w:lang w:val="fr-CA"/>
        </w:rPr>
        <w:t xml:space="preserve"> 3</w:t>
      </w:r>
      <w:r w:rsidR="00F1547A">
        <w:rPr>
          <w:rStyle w:val="EmphasisUseSparingly"/>
          <w:lang w:val="fr-CA"/>
        </w:rPr>
        <w:t> </w:t>
      </w:r>
      <w:r w:rsidR="006A1184" w:rsidRPr="00955F62">
        <w:rPr>
          <w:lang w:val="fr-CA"/>
        </w:rPr>
        <w:t>: Les combinaisons suivantes doivent aussi être évitées</w:t>
      </w:r>
      <w:r w:rsidR="00F1547A">
        <w:rPr>
          <w:lang w:val="fr-CA"/>
        </w:rPr>
        <w:t> </w:t>
      </w:r>
      <w:r w:rsidR="006A1184" w:rsidRPr="00955F62">
        <w:rPr>
          <w:lang w:val="fr-CA"/>
        </w:rPr>
        <w:t xml:space="preserve">: gris et bleu, vert </w:t>
      </w:r>
      <w:proofErr w:type="gramStart"/>
      <w:r w:rsidR="006A1184" w:rsidRPr="00955F62">
        <w:rPr>
          <w:lang w:val="fr-CA"/>
        </w:rPr>
        <w:t>pâle et bleu marine</w:t>
      </w:r>
      <w:proofErr w:type="gramEnd"/>
      <w:r w:rsidR="006A1184" w:rsidRPr="00955F62">
        <w:rPr>
          <w:lang w:val="fr-CA"/>
        </w:rPr>
        <w:t>.</w:t>
      </w:r>
    </w:p>
    <w:p w14:paraId="37E47545" w14:textId="5FB3691A" w:rsidR="006A1184" w:rsidRPr="00955F62" w:rsidRDefault="00CD6621" w:rsidP="00D143C3">
      <w:pPr>
        <w:pStyle w:val="ListRef"/>
        <w:ind w:left="0" w:firstLine="0"/>
        <w:rPr>
          <w:lang w:val="fr-CA"/>
        </w:rPr>
      </w:pPr>
      <w:r>
        <w:rPr>
          <w:rStyle w:val="EmphasisUseSparingly"/>
          <w:lang w:val="fr-CA"/>
        </w:rPr>
        <w:lastRenderedPageBreak/>
        <w:t>Remarque</w:t>
      </w:r>
      <w:r w:rsidR="006A1184" w:rsidRPr="00955F62">
        <w:rPr>
          <w:rStyle w:val="EmphasisUseSparingly"/>
          <w:lang w:val="fr-CA"/>
        </w:rPr>
        <w:t xml:space="preserve"> 4</w:t>
      </w:r>
      <w:r w:rsidR="00F1547A">
        <w:rPr>
          <w:rStyle w:val="EmphasisUseSparingly"/>
          <w:lang w:val="fr-CA"/>
        </w:rPr>
        <w:t> </w:t>
      </w:r>
      <w:r w:rsidR="006A1184" w:rsidRPr="00955F62">
        <w:rPr>
          <w:lang w:val="fr-CA"/>
        </w:rPr>
        <w:t>: Pour établir un contraste entre bleu et jaune ou rouge et vert, il est recommandé d</w:t>
      </w:r>
      <w:r w:rsidR="007F197F">
        <w:rPr>
          <w:lang w:val="fr-CA"/>
        </w:rPr>
        <w:t>’</w:t>
      </w:r>
      <w:r w:rsidR="006A1184" w:rsidRPr="00955F62">
        <w:rPr>
          <w:lang w:val="fr-CA"/>
        </w:rPr>
        <w:t xml:space="preserve">associer du bleu foncé au jaune vif ou du rouge </w:t>
      </w:r>
      <w:r w:rsidR="00101B9D">
        <w:rPr>
          <w:lang w:val="fr-CA"/>
        </w:rPr>
        <w:t>fonc</w:t>
      </w:r>
      <w:r w:rsidR="00101B9D">
        <w:rPr>
          <w:rFonts w:cs="Arial"/>
          <w:lang w:val="fr-CA"/>
        </w:rPr>
        <w:t>é</w:t>
      </w:r>
      <w:r w:rsidR="006A1184" w:rsidRPr="00955F62">
        <w:rPr>
          <w:lang w:val="fr-CA"/>
        </w:rPr>
        <w:t xml:space="preserve"> au vert pâle, car ces combinaisons sont plus </w:t>
      </w:r>
      <w:r w:rsidR="00101B9D">
        <w:rPr>
          <w:lang w:val="fr-CA"/>
        </w:rPr>
        <w:t xml:space="preserve">faciles </w:t>
      </w:r>
      <w:r w:rsidR="00101B9D">
        <w:rPr>
          <w:rFonts w:cs="Arial"/>
          <w:lang w:val="fr-CA"/>
        </w:rPr>
        <w:t>à</w:t>
      </w:r>
      <w:r w:rsidR="00101B9D">
        <w:rPr>
          <w:lang w:val="fr-CA"/>
        </w:rPr>
        <w:t xml:space="preserve"> distinguer</w:t>
      </w:r>
      <w:r w:rsidR="006A1184" w:rsidRPr="00955F62">
        <w:rPr>
          <w:lang w:val="fr-CA"/>
        </w:rPr>
        <w:t xml:space="preserve"> à l</w:t>
      </w:r>
      <w:r w:rsidR="007F197F">
        <w:rPr>
          <w:lang w:val="fr-CA"/>
        </w:rPr>
        <w:t>’</w:t>
      </w:r>
      <w:r w:rsidR="006A1184" w:rsidRPr="00955F62">
        <w:rPr>
          <w:lang w:val="fr-CA"/>
        </w:rPr>
        <w:t xml:space="preserve">œil </w:t>
      </w:r>
      <w:r w:rsidR="00AA4656">
        <w:rPr>
          <w:lang w:val="fr-CA"/>
        </w:rPr>
        <w:t xml:space="preserve">humain </w:t>
      </w:r>
      <w:r w:rsidR="00101B9D">
        <w:rPr>
          <w:lang w:val="fr-CA"/>
        </w:rPr>
        <w:t xml:space="preserve">que le </w:t>
      </w:r>
      <w:r w:rsidR="006A1184" w:rsidRPr="00955F62">
        <w:rPr>
          <w:lang w:val="fr-CA"/>
        </w:rPr>
        <w:t xml:space="preserve">vert foncé avec un rouge pâle ou à un jaune </w:t>
      </w:r>
      <w:r w:rsidR="004F0B1C">
        <w:rPr>
          <w:lang w:val="fr-CA"/>
        </w:rPr>
        <w:t>vif</w:t>
      </w:r>
      <w:r w:rsidR="006A1184" w:rsidRPr="00955F62">
        <w:rPr>
          <w:lang w:val="fr-CA"/>
        </w:rPr>
        <w:t xml:space="preserve"> avec un bleu pâle.</w:t>
      </w:r>
    </w:p>
    <w:p w14:paraId="54725371" w14:textId="4B41F997" w:rsidR="000948E7" w:rsidRPr="002A0C89" w:rsidRDefault="00804DAA" w:rsidP="004068A7">
      <w:pPr>
        <w:rPr>
          <w:lang w:val="fr-CA"/>
        </w:rPr>
      </w:pPr>
      <w:r>
        <w:rPr>
          <w:rStyle w:val="EmphasisUseSparingly"/>
          <w:lang w:val="fr-CA"/>
        </w:rPr>
        <w:t>Remarque</w:t>
      </w:r>
      <w:r w:rsidR="004068A7" w:rsidRPr="002A0C89">
        <w:rPr>
          <w:rStyle w:val="EmphasisUseSparingly"/>
          <w:lang w:val="fr-CA"/>
        </w:rPr>
        <w:t xml:space="preserve"> 5</w:t>
      </w:r>
      <w:r w:rsidR="00F1547A">
        <w:rPr>
          <w:rStyle w:val="EmphasisUseSparingly"/>
          <w:lang w:val="fr-CA"/>
        </w:rPr>
        <w:t> </w:t>
      </w:r>
      <w:r w:rsidR="004068A7" w:rsidRPr="002A0C89">
        <w:rPr>
          <w:lang w:val="fr-CA"/>
        </w:rPr>
        <w:t>: Les couleurs servent d</w:t>
      </w:r>
      <w:r w:rsidR="007F197F">
        <w:rPr>
          <w:lang w:val="fr-CA"/>
        </w:rPr>
        <w:t>’</w:t>
      </w:r>
      <w:r w:rsidR="004068A7" w:rsidRPr="002A0C89">
        <w:rPr>
          <w:lang w:val="fr-CA"/>
        </w:rPr>
        <w:t xml:space="preserve">aide à la navigation efficace, </w:t>
      </w:r>
      <w:r w:rsidR="003B050A">
        <w:rPr>
          <w:lang w:val="fr-CA"/>
        </w:rPr>
        <w:t>facilitant la reconnaissance</w:t>
      </w:r>
      <w:r w:rsidR="004068A7" w:rsidRPr="002A0C89">
        <w:rPr>
          <w:lang w:val="fr-CA"/>
        </w:rPr>
        <w:t xml:space="preserve"> </w:t>
      </w:r>
      <w:r w:rsidR="003B050A">
        <w:rPr>
          <w:lang w:val="fr-CA"/>
        </w:rPr>
        <w:t xml:space="preserve">des étages </w:t>
      </w:r>
      <w:r w:rsidR="004068A7" w:rsidRPr="002A0C89">
        <w:rPr>
          <w:lang w:val="fr-CA"/>
        </w:rPr>
        <w:t xml:space="preserve">ou les fonctions de la pièce. </w:t>
      </w:r>
      <w:r w:rsidR="005C661A">
        <w:rPr>
          <w:lang w:val="fr-CA"/>
        </w:rPr>
        <w:t xml:space="preserve">Elles </w:t>
      </w:r>
      <w:r w:rsidR="004068A7" w:rsidRPr="002A0C89">
        <w:rPr>
          <w:lang w:val="fr-CA"/>
        </w:rPr>
        <w:t>améliorent la signalisation tactile et visuelle</w:t>
      </w:r>
      <w:r w:rsidR="002A0C89">
        <w:rPr>
          <w:lang w:val="fr-CA"/>
        </w:rPr>
        <w:t>, par exemple en affichant le</w:t>
      </w:r>
      <w:r w:rsidR="004068A7" w:rsidRPr="002A0C89">
        <w:rPr>
          <w:lang w:val="fr-CA"/>
        </w:rPr>
        <w:t xml:space="preserve"> chiffre «</w:t>
      </w:r>
      <w:r w:rsidR="00A92827">
        <w:rPr>
          <w:lang w:val="fr-CA"/>
        </w:rPr>
        <w:t> </w:t>
      </w:r>
      <w:r w:rsidR="004068A7" w:rsidRPr="002A0C89">
        <w:rPr>
          <w:lang w:val="fr-CA"/>
        </w:rPr>
        <w:t>3</w:t>
      </w:r>
      <w:r w:rsidR="00A92827">
        <w:rPr>
          <w:lang w:val="fr-CA"/>
        </w:rPr>
        <w:t> </w:t>
      </w:r>
      <w:r w:rsidR="004068A7" w:rsidRPr="002A0C89">
        <w:rPr>
          <w:lang w:val="fr-CA"/>
        </w:rPr>
        <w:t xml:space="preserve">» pour indiquer </w:t>
      </w:r>
      <w:r w:rsidR="00333E3A" w:rsidRPr="002A0C89">
        <w:rPr>
          <w:lang w:val="fr-CA"/>
        </w:rPr>
        <w:t>l</w:t>
      </w:r>
      <w:r w:rsidR="00333E3A">
        <w:rPr>
          <w:lang w:val="fr-CA"/>
        </w:rPr>
        <w:t>e troisième étage</w:t>
      </w:r>
      <w:r w:rsidR="004068A7" w:rsidRPr="002A0C89">
        <w:rPr>
          <w:lang w:val="fr-CA"/>
        </w:rPr>
        <w:t>.</w:t>
      </w:r>
    </w:p>
    <w:p w14:paraId="3DFE2BDC" w14:textId="32C762D3" w:rsidR="004068A7" w:rsidRDefault="004068A7" w:rsidP="004068A7">
      <w:pPr>
        <w:pStyle w:val="Heading2"/>
      </w:pPr>
      <w:bookmarkStart w:id="580" w:name="_Colour_patterns"/>
      <w:bookmarkStart w:id="581" w:name="_Toc219706198"/>
      <w:bookmarkEnd w:id="580"/>
      <w:r>
        <w:t>Motifs de couleur</w:t>
      </w:r>
      <w:bookmarkEnd w:id="581"/>
    </w:p>
    <w:p w14:paraId="2D7894D2" w14:textId="79A482D6" w:rsidR="00676358" w:rsidRPr="00313F50" w:rsidRDefault="00676358" w:rsidP="00676358">
      <w:pPr>
        <w:rPr>
          <w:lang w:val="fr-CA"/>
        </w:rPr>
      </w:pPr>
      <w:r w:rsidRPr="00313F50">
        <w:rPr>
          <w:lang w:val="fr-CA"/>
        </w:rPr>
        <w:t>Les motifs peuvent compliquer l</w:t>
      </w:r>
      <w:r w:rsidR="007F197F">
        <w:rPr>
          <w:lang w:val="fr-CA"/>
        </w:rPr>
        <w:t>’</w:t>
      </w:r>
      <w:r w:rsidRPr="00313F50">
        <w:rPr>
          <w:lang w:val="fr-CA"/>
        </w:rPr>
        <w:t>interprétation de l</w:t>
      </w:r>
      <w:r w:rsidR="007F197F">
        <w:rPr>
          <w:lang w:val="fr-CA"/>
        </w:rPr>
        <w:t>’</w:t>
      </w:r>
      <w:r w:rsidRPr="00313F50">
        <w:rPr>
          <w:lang w:val="fr-CA"/>
        </w:rPr>
        <w:t xml:space="preserve">information visuelle. Les informations ci-dessous fournissent des </w:t>
      </w:r>
      <w:r w:rsidR="00DB0F43">
        <w:rPr>
          <w:lang w:val="fr-CA"/>
        </w:rPr>
        <w:t>directives</w:t>
      </w:r>
      <w:r w:rsidRPr="00313F50">
        <w:rPr>
          <w:lang w:val="fr-CA"/>
        </w:rPr>
        <w:t xml:space="preserve"> sur l</w:t>
      </w:r>
      <w:r w:rsidR="007F197F">
        <w:rPr>
          <w:lang w:val="fr-CA"/>
        </w:rPr>
        <w:t>’</w:t>
      </w:r>
      <w:r w:rsidRPr="00313F50">
        <w:rPr>
          <w:lang w:val="fr-CA"/>
        </w:rPr>
        <w:t>utilisation des motifs de couleurs.</w:t>
      </w:r>
    </w:p>
    <w:p w14:paraId="05F1F52A" w14:textId="5DA6D24C" w:rsidR="00676358" w:rsidRPr="00313F50" w:rsidRDefault="00676358" w:rsidP="00676358">
      <w:pPr>
        <w:rPr>
          <w:lang w:val="fr-CA"/>
        </w:rPr>
      </w:pPr>
      <w:r w:rsidRPr="00313F50">
        <w:rPr>
          <w:lang w:val="fr-CA"/>
        </w:rPr>
        <w:t>Le choix du motif de couleur doit</w:t>
      </w:r>
      <w:r w:rsidR="00F1547A">
        <w:rPr>
          <w:lang w:val="fr-CA"/>
        </w:rPr>
        <w:t> </w:t>
      </w:r>
      <w:r w:rsidRPr="00313F50">
        <w:rPr>
          <w:lang w:val="fr-CA"/>
        </w:rPr>
        <w:t>:</w:t>
      </w:r>
    </w:p>
    <w:p w14:paraId="2E56FA91" w14:textId="271CF5BF" w:rsidR="00676358" w:rsidRPr="00313F50" w:rsidRDefault="00676358" w:rsidP="003F66F0">
      <w:pPr>
        <w:pStyle w:val="ListRef"/>
        <w:numPr>
          <w:ilvl w:val="0"/>
          <w:numId w:val="21"/>
        </w:numPr>
        <w:rPr>
          <w:lang w:val="fr-CA"/>
        </w:rPr>
      </w:pPr>
      <w:proofErr w:type="gramStart"/>
      <w:r w:rsidRPr="00313F50">
        <w:rPr>
          <w:lang w:val="fr-CA"/>
        </w:rPr>
        <w:t>évite</w:t>
      </w:r>
      <w:r w:rsidR="00313F50">
        <w:rPr>
          <w:lang w:val="fr-CA"/>
        </w:rPr>
        <w:t>r</w:t>
      </w:r>
      <w:proofErr w:type="gramEnd"/>
      <w:r w:rsidRPr="00313F50">
        <w:rPr>
          <w:lang w:val="fr-CA"/>
        </w:rPr>
        <w:t xml:space="preserve"> les motifs lourds ou distincts sur les murs ou les planchers, car cela peut créer de la confusion visuelle pour les personnes ayant une vision limitée; </w:t>
      </w:r>
    </w:p>
    <w:p w14:paraId="59D749E4" w14:textId="77777777" w:rsidR="00676358" w:rsidRPr="00313F50" w:rsidRDefault="00676358" w:rsidP="003F66F0">
      <w:pPr>
        <w:pStyle w:val="ListRef"/>
        <w:numPr>
          <w:ilvl w:val="0"/>
          <w:numId w:val="21"/>
        </w:numPr>
        <w:rPr>
          <w:lang w:val="fr-CA"/>
        </w:rPr>
      </w:pPr>
      <w:proofErr w:type="gramStart"/>
      <w:r w:rsidRPr="00313F50">
        <w:rPr>
          <w:lang w:val="fr-CA"/>
        </w:rPr>
        <w:t>avoir</w:t>
      </w:r>
      <w:proofErr w:type="gramEnd"/>
      <w:r w:rsidRPr="00313F50">
        <w:rPr>
          <w:lang w:val="fr-CA"/>
        </w:rPr>
        <w:t xml:space="preserve"> des motifs simples, répétitifs et non directionnels qui présentent un contraste monochromatique ou faible en couleur;</w:t>
      </w:r>
    </w:p>
    <w:p w14:paraId="333A9907" w14:textId="0F30AAA7" w:rsidR="00676358" w:rsidRPr="00313F50" w:rsidRDefault="00676358" w:rsidP="003F66F0">
      <w:pPr>
        <w:pStyle w:val="ListRef"/>
        <w:numPr>
          <w:ilvl w:val="0"/>
          <w:numId w:val="21"/>
        </w:numPr>
        <w:rPr>
          <w:lang w:val="fr-CA"/>
        </w:rPr>
      </w:pPr>
      <w:proofErr w:type="gramStart"/>
      <w:r w:rsidRPr="00313F50">
        <w:rPr>
          <w:lang w:val="fr-CA"/>
        </w:rPr>
        <w:t>être</w:t>
      </w:r>
      <w:proofErr w:type="gramEnd"/>
      <w:r w:rsidRPr="00313F50">
        <w:rPr>
          <w:lang w:val="fr-CA"/>
        </w:rPr>
        <w:t xml:space="preserve"> conçu pour minimiser le fort contraste de luminance entre les sections foncées et claires, assurant une valeur de contraste maximale de Cm = 20</w:t>
      </w:r>
      <w:r w:rsidR="00D8285E">
        <w:rPr>
          <w:lang w:val="fr-CA"/>
        </w:rPr>
        <w:t> </w:t>
      </w:r>
      <w:r w:rsidRPr="00313F50">
        <w:rPr>
          <w:lang w:val="fr-CA"/>
        </w:rPr>
        <w:t>% (</w:t>
      </w:r>
      <w:proofErr w:type="spellStart"/>
      <w:r w:rsidRPr="00313F50">
        <w:rPr>
          <w:lang w:val="fr-CA"/>
        </w:rPr>
        <w:t>Cw</w:t>
      </w:r>
      <w:proofErr w:type="spellEnd"/>
      <w:r w:rsidRPr="00313F50">
        <w:rPr>
          <w:lang w:val="fr-CA"/>
        </w:rPr>
        <w:t xml:space="preserve"> = 33</w:t>
      </w:r>
      <w:r w:rsidR="00D8285E">
        <w:rPr>
          <w:lang w:val="fr-CA"/>
        </w:rPr>
        <w:t> </w:t>
      </w:r>
      <w:r w:rsidRPr="00313F50">
        <w:rPr>
          <w:lang w:val="fr-CA"/>
        </w:rPr>
        <w:t>%) pour les motifs de plancher;</w:t>
      </w:r>
      <w:r w:rsidR="001966F0">
        <w:rPr>
          <w:lang w:val="fr-CA"/>
        </w:rPr>
        <w:t xml:space="preserve"> et</w:t>
      </w:r>
    </w:p>
    <w:p w14:paraId="6A0D7C47" w14:textId="4744ED26" w:rsidR="00676358" w:rsidRPr="00313F50" w:rsidRDefault="00676358" w:rsidP="003F66F0">
      <w:pPr>
        <w:pStyle w:val="ListRef"/>
        <w:numPr>
          <w:ilvl w:val="0"/>
          <w:numId w:val="21"/>
        </w:numPr>
        <w:rPr>
          <w:lang w:val="fr-CA"/>
        </w:rPr>
      </w:pPr>
      <w:proofErr w:type="gramStart"/>
      <w:r w:rsidRPr="00313F50">
        <w:rPr>
          <w:lang w:val="fr-CA"/>
        </w:rPr>
        <w:t>évite</w:t>
      </w:r>
      <w:r w:rsidR="00AF5734">
        <w:rPr>
          <w:lang w:val="fr-CA"/>
        </w:rPr>
        <w:t>r</w:t>
      </w:r>
      <w:proofErr w:type="gramEnd"/>
      <w:r w:rsidRPr="00313F50">
        <w:rPr>
          <w:lang w:val="fr-CA"/>
        </w:rPr>
        <w:t xml:space="preserve"> les motifs de plancher avec un contraste de luminance</w:t>
      </w:r>
      <w:r w:rsidR="00C82B9B">
        <w:rPr>
          <w:lang w:val="fr-CA"/>
        </w:rPr>
        <w:t xml:space="preserve"> élevé</w:t>
      </w:r>
      <w:r w:rsidRPr="00313F50">
        <w:rPr>
          <w:lang w:val="fr-CA"/>
        </w:rPr>
        <w:t>, car ils pourraient créer l</w:t>
      </w:r>
      <w:r w:rsidR="007F197F">
        <w:rPr>
          <w:lang w:val="fr-CA"/>
        </w:rPr>
        <w:t>’</w:t>
      </w:r>
      <w:r w:rsidRPr="00313F50">
        <w:rPr>
          <w:lang w:val="fr-CA"/>
        </w:rPr>
        <w:t>illusion de variations de hauteur</w:t>
      </w:r>
      <w:r w:rsidR="002B1A02">
        <w:rPr>
          <w:lang w:val="fr-CA"/>
        </w:rPr>
        <w:t>.</w:t>
      </w:r>
    </w:p>
    <w:p w14:paraId="45282FFF" w14:textId="6A979D1A" w:rsidR="004068A7" w:rsidRPr="00313F50" w:rsidRDefault="0078142B" w:rsidP="00676358">
      <w:pPr>
        <w:rPr>
          <w:lang w:val="fr-CA"/>
        </w:rPr>
      </w:pPr>
      <w:r>
        <w:rPr>
          <w:rStyle w:val="EmphasisUseSparingly"/>
          <w:lang w:val="fr-CA"/>
        </w:rPr>
        <w:t>Remarque</w:t>
      </w:r>
      <w:r w:rsidR="00F1547A">
        <w:rPr>
          <w:rStyle w:val="EmphasisUseSparingly"/>
          <w:lang w:val="fr-CA"/>
        </w:rPr>
        <w:t> </w:t>
      </w:r>
      <w:r w:rsidR="00676358" w:rsidRPr="00313F50">
        <w:rPr>
          <w:lang w:val="fr-CA"/>
        </w:rPr>
        <w:t xml:space="preserve">: </w:t>
      </w:r>
      <w:r w:rsidR="00F632DE" w:rsidRPr="00313F50">
        <w:rPr>
          <w:lang w:val="fr-CA"/>
        </w:rPr>
        <w:t xml:space="preserve">Un contraste </w:t>
      </w:r>
      <w:r w:rsidR="00F632DE">
        <w:rPr>
          <w:lang w:val="fr-CA"/>
        </w:rPr>
        <w:t>élevé</w:t>
      </w:r>
      <w:r w:rsidR="001D569A">
        <w:rPr>
          <w:lang w:val="fr-CA"/>
        </w:rPr>
        <w:t xml:space="preserve"> </w:t>
      </w:r>
      <w:r w:rsidR="00676358" w:rsidRPr="00313F50">
        <w:rPr>
          <w:lang w:val="fr-CA"/>
        </w:rPr>
        <w:t>dans les motifs de plancher peut aussi contribuer au vertige chez certaines personnes.</w:t>
      </w:r>
    </w:p>
    <w:p w14:paraId="7E626DAB" w14:textId="5B52C943" w:rsidR="00410C65" w:rsidRDefault="00D348CD" w:rsidP="00410C65">
      <w:pPr>
        <w:pStyle w:val="Heading1"/>
      </w:pPr>
      <w:bookmarkStart w:id="582" w:name="_Toc219706199"/>
      <w:r>
        <w:lastRenderedPageBreak/>
        <w:t>Orientation</w:t>
      </w:r>
      <w:bookmarkEnd w:id="582"/>
    </w:p>
    <w:p w14:paraId="25A07971" w14:textId="0CD1C544" w:rsidR="00D348CD" w:rsidRDefault="00A31AE8" w:rsidP="00D348CD">
      <w:pPr>
        <w:pStyle w:val="Heading2"/>
      </w:pPr>
      <w:bookmarkStart w:id="583" w:name="_Toc219706200"/>
      <w:proofErr w:type="spellStart"/>
      <w:r>
        <w:t>Général</w:t>
      </w:r>
      <w:bookmarkEnd w:id="583"/>
      <w:proofErr w:type="spellEnd"/>
    </w:p>
    <w:p w14:paraId="223C1454" w14:textId="5E9FFECE" w:rsidR="00727469" w:rsidRPr="00F632DE" w:rsidRDefault="00727469" w:rsidP="00727469">
      <w:pPr>
        <w:rPr>
          <w:lang w:val="fr-CA"/>
        </w:rPr>
      </w:pPr>
      <w:r w:rsidRPr="00F632DE">
        <w:rPr>
          <w:lang w:val="fr-CA"/>
        </w:rPr>
        <w:t>L</w:t>
      </w:r>
      <w:r w:rsidR="007F197F">
        <w:rPr>
          <w:lang w:val="fr-CA"/>
        </w:rPr>
        <w:t>’</w:t>
      </w:r>
      <w:r w:rsidRPr="00F632DE">
        <w:rPr>
          <w:lang w:val="fr-CA"/>
        </w:rPr>
        <w:t xml:space="preserve">orientation est facilitée par des environnements intérieurs et extérieurs bien conçus qui intègrent des </w:t>
      </w:r>
      <w:r w:rsidR="003C662E">
        <w:rPr>
          <w:lang w:val="fr-CA"/>
        </w:rPr>
        <w:t>voies de circulation</w:t>
      </w:r>
      <w:r w:rsidR="00E4434E">
        <w:rPr>
          <w:lang w:val="fr-CA"/>
        </w:rPr>
        <w:t xml:space="preserve"> claires</w:t>
      </w:r>
      <w:r w:rsidRPr="00F632DE">
        <w:rPr>
          <w:lang w:val="fr-CA"/>
        </w:rPr>
        <w:t>, ainsi que des indices de navigation construits et naturels tels que les bords, les points de repère, la signalisation, les textures de surface, l</w:t>
      </w:r>
      <w:r w:rsidR="007F197F">
        <w:rPr>
          <w:lang w:val="fr-CA"/>
        </w:rPr>
        <w:t>’</w:t>
      </w:r>
      <w:r w:rsidRPr="00F632DE">
        <w:rPr>
          <w:lang w:val="fr-CA"/>
        </w:rPr>
        <w:t>éclairage</w:t>
      </w:r>
      <w:r w:rsidR="00A06144">
        <w:rPr>
          <w:lang w:val="fr-CA"/>
        </w:rPr>
        <w:t>,</w:t>
      </w:r>
      <w:r w:rsidRPr="00F632DE">
        <w:rPr>
          <w:lang w:val="fr-CA"/>
        </w:rPr>
        <w:t xml:space="preserve"> et l</w:t>
      </w:r>
      <w:r w:rsidR="007F197F">
        <w:rPr>
          <w:lang w:val="fr-CA"/>
        </w:rPr>
        <w:t>’</w:t>
      </w:r>
      <w:r w:rsidRPr="00F632DE">
        <w:rPr>
          <w:lang w:val="fr-CA"/>
        </w:rPr>
        <w:t>acoustique, qui peuvent être détectés par des moyens visuels, tactiles et auditifs.</w:t>
      </w:r>
    </w:p>
    <w:p w14:paraId="53C89448" w14:textId="3465718C" w:rsidR="00C543D3" w:rsidRPr="00440943" w:rsidRDefault="007436CD" w:rsidP="007436CD">
      <w:pPr>
        <w:rPr>
          <w:lang w:val="fr-CA"/>
        </w:rPr>
      </w:pPr>
      <w:r w:rsidRPr="00F632DE">
        <w:rPr>
          <w:lang w:val="fr-CA"/>
        </w:rPr>
        <w:t>Les systèmes d</w:t>
      </w:r>
      <w:r w:rsidR="00440943">
        <w:rPr>
          <w:lang w:val="fr-CA"/>
        </w:rPr>
        <w:t>’orientation</w:t>
      </w:r>
      <w:r w:rsidRPr="00F632DE">
        <w:rPr>
          <w:lang w:val="fr-CA"/>
        </w:rPr>
        <w:t xml:space="preserve">, y compris ceux utilisés pour identifier les points de repère et les points de décision, devraient présenter des informations faciles à localiser, lire et comprendre. </w:t>
      </w:r>
      <w:r w:rsidRPr="00440943">
        <w:rPr>
          <w:lang w:val="fr-CA"/>
        </w:rPr>
        <w:t>Une orientation efficace permet aux individus de</w:t>
      </w:r>
      <w:r w:rsidR="00F1547A">
        <w:rPr>
          <w:lang w:val="fr-CA"/>
        </w:rPr>
        <w:t> </w:t>
      </w:r>
      <w:r w:rsidRPr="00440943">
        <w:rPr>
          <w:lang w:val="fr-CA"/>
        </w:rPr>
        <w:t>:</w:t>
      </w:r>
    </w:p>
    <w:p w14:paraId="73E8599E" w14:textId="64DE949C" w:rsidR="00C543D3" w:rsidRPr="00F632DE" w:rsidRDefault="007436CD" w:rsidP="00C61505">
      <w:pPr>
        <w:pStyle w:val="ListParagraph"/>
        <w:numPr>
          <w:ilvl w:val="0"/>
          <w:numId w:val="87"/>
        </w:numPr>
        <w:rPr>
          <w:lang w:val="fr-CA"/>
        </w:rPr>
      </w:pPr>
      <w:proofErr w:type="gramStart"/>
      <w:r w:rsidRPr="00F632DE">
        <w:rPr>
          <w:lang w:val="fr-CA"/>
        </w:rPr>
        <w:t>comprendre</w:t>
      </w:r>
      <w:proofErr w:type="gramEnd"/>
      <w:r w:rsidRPr="00F632DE">
        <w:rPr>
          <w:lang w:val="fr-CA"/>
        </w:rPr>
        <w:t xml:space="preserve"> les conditions du site qu</w:t>
      </w:r>
      <w:r w:rsidR="007F197F">
        <w:rPr>
          <w:lang w:val="fr-CA"/>
        </w:rPr>
        <w:t>’</w:t>
      </w:r>
      <w:r w:rsidRPr="00F632DE">
        <w:rPr>
          <w:lang w:val="fr-CA"/>
        </w:rPr>
        <w:t>ils peuvent rencontrer;</w:t>
      </w:r>
    </w:p>
    <w:p w14:paraId="66A7B0BA" w14:textId="4E60E5EB" w:rsidR="00C543D3" w:rsidRPr="00F632DE" w:rsidRDefault="007436CD" w:rsidP="00C61505">
      <w:pPr>
        <w:pStyle w:val="ListParagraph"/>
        <w:numPr>
          <w:ilvl w:val="0"/>
          <w:numId w:val="87"/>
        </w:numPr>
        <w:rPr>
          <w:lang w:val="fr-CA"/>
        </w:rPr>
      </w:pPr>
      <w:proofErr w:type="gramStart"/>
      <w:r w:rsidRPr="00F632DE">
        <w:rPr>
          <w:lang w:val="fr-CA"/>
        </w:rPr>
        <w:t>connaître</w:t>
      </w:r>
      <w:proofErr w:type="gramEnd"/>
      <w:r w:rsidRPr="00F632DE">
        <w:rPr>
          <w:lang w:val="fr-CA"/>
        </w:rPr>
        <w:t xml:space="preserve"> sa position par rapport à d</w:t>
      </w:r>
      <w:r w:rsidR="007F197F">
        <w:rPr>
          <w:lang w:val="fr-CA"/>
        </w:rPr>
        <w:t>’</w:t>
      </w:r>
      <w:r w:rsidRPr="00F632DE">
        <w:rPr>
          <w:lang w:val="fr-CA"/>
        </w:rPr>
        <w:t xml:space="preserve">autres </w:t>
      </w:r>
      <w:r w:rsidR="00AA3993">
        <w:rPr>
          <w:lang w:val="fr-CA"/>
        </w:rPr>
        <w:t>lieux</w:t>
      </w:r>
      <w:r w:rsidRPr="00F632DE">
        <w:rPr>
          <w:lang w:val="fr-CA"/>
        </w:rPr>
        <w:t xml:space="preserve"> </w:t>
      </w:r>
      <w:r w:rsidR="00AA3993">
        <w:rPr>
          <w:lang w:val="fr-CA"/>
        </w:rPr>
        <w:t>importants</w:t>
      </w:r>
      <w:r w:rsidRPr="00F632DE">
        <w:rPr>
          <w:lang w:val="fr-CA"/>
        </w:rPr>
        <w:t>;</w:t>
      </w:r>
    </w:p>
    <w:p w14:paraId="26FD51FE" w14:textId="0E2CECA9" w:rsidR="00C543D3" w:rsidRPr="00F632DE" w:rsidRDefault="007436CD" w:rsidP="00C61505">
      <w:pPr>
        <w:pStyle w:val="ListParagraph"/>
        <w:numPr>
          <w:ilvl w:val="0"/>
          <w:numId w:val="87"/>
        </w:numPr>
        <w:rPr>
          <w:lang w:val="fr-CA"/>
        </w:rPr>
      </w:pPr>
      <w:proofErr w:type="gramStart"/>
      <w:r w:rsidRPr="00F632DE">
        <w:rPr>
          <w:lang w:val="fr-CA"/>
        </w:rPr>
        <w:t>s</w:t>
      </w:r>
      <w:r w:rsidR="007F197F">
        <w:rPr>
          <w:lang w:val="fr-CA"/>
        </w:rPr>
        <w:t>’</w:t>
      </w:r>
      <w:r w:rsidRPr="00F632DE">
        <w:rPr>
          <w:lang w:val="fr-CA"/>
        </w:rPr>
        <w:t>orienter</w:t>
      </w:r>
      <w:proofErr w:type="gramEnd"/>
      <w:r w:rsidRPr="00F632DE">
        <w:rPr>
          <w:lang w:val="fr-CA"/>
        </w:rPr>
        <w:t xml:space="preserve"> dans une direction appropriée et sécuritaire; et</w:t>
      </w:r>
    </w:p>
    <w:p w14:paraId="3451B10A" w14:textId="17A15BE6" w:rsidR="007436CD" w:rsidRPr="00F632DE" w:rsidRDefault="007C706D" w:rsidP="00C61505">
      <w:pPr>
        <w:pStyle w:val="ListParagraph"/>
        <w:numPr>
          <w:ilvl w:val="0"/>
          <w:numId w:val="87"/>
        </w:numPr>
        <w:rPr>
          <w:lang w:val="fr-CA"/>
        </w:rPr>
      </w:pPr>
      <w:proofErr w:type="gramStart"/>
      <w:r>
        <w:rPr>
          <w:lang w:val="fr-CA"/>
        </w:rPr>
        <w:t>d</w:t>
      </w:r>
      <w:r w:rsidR="007436CD" w:rsidRPr="00F632DE">
        <w:rPr>
          <w:lang w:val="fr-CA"/>
        </w:rPr>
        <w:t>écouvr</w:t>
      </w:r>
      <w:r>
        <w:rPr>
          <w:lang w:val="fr-CA"/>
        </w:rPr>
        <w:t>ir</w:t>
      </w:r>
      <w:proofErr w:type="gramEnd"/>
      <w:r w:rsidR="007436CD" w:rsidRPr="00F632DE">
        <w:rPr>
          <w:lang w:val="fr-CA"/>
        </w:rPr>
        <w:t xml:space="preserve"> de nouvelles destinations et services de façon autonome.</w:t>
      </w:r>
    </w:p>
    <w:p w14:paraId="3D01AE0A" w14:textId="52A065D6" w:rsidR="007436CD" w:rsidRPr="00EC179E" w:rsidRDefault="007436CD" w:rsidP="007436CD">
      <w:proofErr w:type="spellStart"/>
      <w:r>
        <w:t>L</w:t>
      </w:r>
      <w:r w:rsidR="007F197F">
        <w:t>’</w:t>
      </w:r>
      <w:r>
        <w:t>orientation</w:t>
      </w:r>
      <w:proofErr w:type="spellEnd"/>
      <w:r>
        <w:t xml:space="preserve"> </w:t>
      </w:r>
      <w:proofErr w:type="gramStart"/>
      <w:r>
        <w:t>doit</w:t>
      </w:r>
      <w:r w:rsidR="00F1547A">
        <w:t> </w:t>
      </w:r>
      <w:r>
        <w:t>:</w:t>
      </w:r>
      <w:proofErr w:type="gramEnd"/>
    </w:p>
    <w:p w14:paraId="047E9492" w14:textId="6742EA4E" w:rsidR="007436CD" w:rsidRPr="00D81DCF" w:rsidRDefault="007436CD" w:rsidP="003F66F0">
      <w:pPr>
        <w:pStyle w:val="ListRef"/>
        <w:numPr>
          <w:ilvl w:val="0"/>
          <w:numId w:val="23"/>
        </w:numPr>
        <w:rPr>
          <w:lang w:val="fr-CA"/>
        </w:rPr>
      </w:pPr>
      <w:proofErr w:type="gramStart"/>
      <w:r w:rsidRPr="00D81DCF">
        <w:rPr>
          <w:lang w:val="fr-CA"/>
        </w:rPr>
        <w:t>soutenir</w:t>
      </w:r>
      <w:proofErr w:type="gramEnd"/>
      <w:r w:rsidRPr="00D81DCF">
        <w:rPr>
          <w:lang w:val="fr-CA"/>
        </w:rPr>
        <w:t xml:space="preserve"> l</w:t>
      </w:r>
      <w:r w:rsidR="007F197F">
        <w:rPr>
          <w:lang w:val="fr-CA"/>
        </w:rPr>
        <w:t>’</w:t>
      </w:r>
      <w:r w:rsidRPr="00D81DCF">
        <w:rPr>
          <w:lang w:val="fr-CA"/>
        </w:rPr>
        <w:t>orientation par des variations acoustiques, textures de surface, éclairage et couleur, suivant le principe de l</w:t>
      </w:r>
      <w:r w:rsidR="007F197F">
        <w:rPr>
          <w:lang w:val="fr-CA"/>
        </w:rPr>
        <w:t>’</w:t>
      </w:r>
      <w:r w:rsidRPr="00D81DCF">
        <w:rPr>
          <w:lang w:val="fr-CA"/>
        </w:rPr>
        <w:t>accessibilité multisensorielle, s</w:t>
      </w:r>
      <w:r w:rsidR="007F197F">
        <w:rPr>
          <w:lang w:val="fr-CA"/>
        </w:rPr>
        <w:t>’</w:t>
      </w:r>
      <w:r w:rsidRPr="00D81DCF">
        <w:rPr>
          <w:lang w:val="fr-CA"/>
        </w:rPr>
        <w:t>assurant qu</w:t>
      </w:r>
      <w:r w:rsidR="007F197F">
        <w:rPr>
          <w:lang w:val="fr-CA"/>
        </w:rPr>
        <w:t>’</w:t>
      </w:r>
      <w:r w:rsidRPr="00D81DCF">
        <w:rPr>
          <w:lang w:val="fr-CA"/>
        </w:rPr>
        <w:t>ils sont disponibles dans des formats adaptés aux personnes ayant des déficiences sensorielles;</w:t>
      </w:r>
    </w:p>
    <w:p w14:paraId="07165DD7" w14:textId="329DA8B1" w:rsidR="007436CD" w:rsidRPr="00D81DCF" w:rsidRDefault="007436CD" w:rsidP="003F66F0">
      <w:pPr>
        <w:pStyle w:val="ListRef"/>
        <w:numPr>
          <w:ilvl w:val="0"/>
          <w:numId w:val="23"/>
        </w:numPr>
        <w:rPr>
          <w:lang w:val="fr-CA"/>
        </w:rPr>
      </w:pPr>
      <w:proofErr w:type="gramStart"/>
      <w:r w:rsidRPr="00D81DCF">
        <w:rPr>
          <w:lang w:val="fr-CA"/>
        </w:rPr>
        <w:t>fournir</w:t>
      </w:r>
      <w:proofErr w:type="gramEnd"/>
      <w:r w:rsidRPr="00D81DCF">
        <w:rPr>
          <w:lang w:val="fr-CA"/>
        </w:rPr>
        <w:t xml:space="preserve"> des mesures de soutien en combinaiso</w:t>
      </w:r>
      <w:r w:rsidR="004B71AB">
        <w:rPr>
          <w:lang w:val="fr-CA"/>
        </w:rPr>
        <w:t xml:space="preserve">n </w:t>
      </w:r>
      <w:r w:rsidR="00D21E20">
        <w:rPr>
          <w:lang w:val="fr-CA"/>
        </w:rPr>
        <w:t>(</w:t>
      </w:r>
      <w:r w:rsidRPr="00D81DCF">
        <w:rPr>
          <w:lang w:val="fr-CA"/>
        </w:rPr>
        <w:t>c</w:t>
      </w:r>
      <w:r w:rsidR="005B3C26">
        <w:rPr>
          <w:lang w:val="fr-CA"/>
        </w:rPr>
        <w:t>.-à-d.</w:t>
      </w:r>
      <w:r w:rsidRPr="00D81DCF">
        <w:rPr>
          <w:lang w:val="fr-CA"/>
        </w:rPr>
        <w:t xml:space="preserve"> </w:t>
      </w:r>
      <w:r w:rsidR="00424540">
        <w:rPr>
          <w:lang w:val="fr-CA"/>
        </w:rPr>
        <w:t>sonores</w:t>
      </w:r>
      <w:r w:rsidRPr="00D81DCF">
        <w:rPr>
          <w:lang w:val="fr-CA"/>
        </w:rPr>
        <w:t xml:space="preserve"> et tactile</w:t>
      </w:r>
      <w:r w:rsidR="00424540">
        <w:rPr>
          <w:lang w:val="fr-CA"/>
        </w:rPr>
        <w:t>s</w:t>
      </w:r>
      <w:r w:rsidRPr="00D81DCF">
        <w:rPr>
          <w:lang w:val="fr-CA"/>
        </w:rPr>
        <w:t xml:space="preserve">; </w:t>
      </w:r>
      <w:r w:rsidR="00424540">
        <w:rPr>
          <w:lang w:val="fr-CA"/>
        </w:rPr>
        <w:t>sonores</w:t>
      </w:r>
      <w:r w:rsidRPr="00D81DCF">
        <w:rPr>
          <w:lang w:val="fr-CA"/>
        </w:rPr>
        <w:t xml:space="preserve"> et visuel</w:t>
      </w:r>
      <w:r w:rsidR="009B2719">
        <w:rPr>
          <w:lang w:val="fr-CA"/>
        </w:rPr>
        <w:t>les</w:t>
      </w:r>
      <w:r w:rsidR="004B71AB">
        <w:rPr>
          <w:lang w:val="fr-CA"/>
        </w:rPr>
        <w:t>)</w:t>
      </w:r>
      <w:r w:rsidRPr="00D81DCF">
        <w:rPr>
          <w:lang w:val="fr-CA"/>
        </w:rPr>
        <w:t>;</w:t>
      </w:r>
    </w:p>
    <w:p w14:paraId="001AA872" w14:textId="3EC43D0D" w:rsidR="007436CD" w:rsidRPr="00D81DCF" w:rsidRDefault="007436CD" w:rsidP="003F66F0">
      <w:pPr>
        <w:pStyle w:val="ListRef"/>
        <w:numPr>
          <w:ilvl w:val="0"/>
          <w:numId w:val="23"/>
        </w:numPr>
        <w:rPr>
          <w:lang w:val="fr-CA"/>
        </w:rPr>
      </w:pPr>
      <w:proofErr w:type="gramStart"/>
      <w:r w:rsidRPr="00D81DCF">
        <w:rPr>
          <w:lang w:val="fr-CA"/>
        </w:rPr>
        <w:lastRenderedPageBreak/>
        <w:t>être</w:t>
      </w:r>
      <w:proofErr w:type="gramEnd"/>
      <w:r w:rsidRPr="00D81DCF">
        <w:rPr>
          <w:lang w:val="fr-CA"/>
        </w:rPr>
        <w:t xml:space="preserve"> soutenu par des indicateurs de direction tactiles (</w:t>
      </w:r>
      <w:r w:rsidR="00750E24">
        <w:rPr>
          <w:lang w:val="fr-CA"/>
        </w:rPr>
        <w:t>ITSM</w:t>
      </w:r>
      <w:r w:rsidRPr="00D81DCF">
        <w:rPr>
          <w:lang w:val="fr-CA"/>
        </w:rPr>
        <w:t xml:space="preserve">) combinés à des indices sonores, tactiles et visuels dans </w:t>
      </w:r>
      <w:r w:rsidR="004941D8">
        <w:rPr>
          <w:lang w:val="fr-CA"/>
        </w:rPr>
        <w:t xml:space="preserve">les </w:t>
      </w:r>
      <w:r w:rsidRPr="00D81DCF">
        <w:rPr>
          <w:lang w:val="fr-CA"/>
        </w:rPr>
        <w:t>bâtiments</w:t>
      </w:r>
      <w:r w:rsidR="004941D8">
        <w:rPr>
          <w:lang w:val="fr-CA"/>
        </w:rPr>
        <w:t xml:space="preserve"> </w:t>
      </w:r>
      <w:r w:rsidR="00C6268B">
        <w:rPr>
          <w:lang w:val="fr-CA"/>
        </w:rPr>
        <w:t xml:space="preserve">de </w:t>
      </w:r>
      <w:r w:rsidR="004941D8">
        <w:rPr>
          <w:lang w:val="fr-CA"/>
        </w:rPr>
        <w:t>grande</w:t>
      </w:r>
      <w:r w:rsidR="00C6268B">
        <w:rPr>
          <w:lang w:val="fr-CA"/>
        </w:rPr>
        <w:t xml:space="preserve"> taille</w:t>
      </w:r>
      <w:r w:rsidR="004941D8">
        <w:rPr>
          <w:lang w:val="fr-CA"/>
        </w:rPr>
        <w:t xml:space="preserve"> ou très complexes et </w:t>
      </w:r>
      <w:r w:rsidR="001A2380">
        <w:rPr>
          <w:lang w:val="fr-CA"/>
        </w:rPr>
        <w:t xml:space="preserve">dans </w:t>
      </w:r>
      <w:r w:rsidR="004941D8">
        <w:rPr>
          <w:lang w:val="fr-CA"/>
        </w:rPr>
        <w:t>les aires étendues</w:t>
      </w:r>
      <w:r w:rsidRPr="00D81DCF">
        <w:rPr>
          <w:lang w:val="fr-CA"/>
        </w:rPr>
        <w:t>;</w:t>
      </w:r>
    </w:p>
    <w:p w14:paraId="19BCDEC1" w14:textId="64C50881" w:rsidR="007436CD" w:rsidRPr="00D81DCF" w:rsidRDefault="007436CD" w:rsidP="003F66F0">
      <w:pPr>
        <w:pStyle w:val="ListRef"/>
        <w:numPr>
          <w:ilvl w:val="0"/>
          <w:numId w:val="23"/>
        </w:numPr>
        <w:rPr>
          <w:lang w:val="fr-CA"/>
        </w:rPr>
      </w:pPr>
      <w:proofErr w:type="gramStart"/>
      <w:r w:rsidRPr="00D81DCF">
        <w:rPr>
          <w:lang w:val="fr-CA"/>
        </w:rPr>
        <w:t>indiquer</w:t>
      </w:r>
      <w:proofErr w:type="gramEnd"/>
      <w:r w:rsidRPr="00D81DCF">
        <w:rPr>
          <w:lang w:val="fr-CA"/>
        </w:rPr>
        <w:t xml:space="preserve"> les changements de direction lorsque les</w:t>
      </w:r>
      <w:r w:rsidR="00750E24">
        <w:rPr>
          <w:lang w:val="fr-CA"/>
        </w:rPr>
        <w:t xml:space="preserve"> ITSM</w:t>
      </w:r>
      <w:r w:rsidRPr="00D81DCF">
        <w:rPr>
          <w:lang w:val="fr-CA"/>
        </w:rPr>
        <w:t xml:space="preserve"> sont utilisés dans </w:t>
      </w:r>
      <w:r w:rsidR="00851403">
        <w:rPr>
          <w:lang w:val="fr-CA"/>
        </w:rPr>
        <w:t xml:space="preserve">les </w:t>
      </w:r>
      <w:r w:rsidRPr="00D81DCF">
        <w:rPr>
          <w:lang w:val="fr-CA"/>
        </w:rPr>
        <w:t>bâtiments</w:t>
      </w:r>
      <w:r w:rsidR="00851403">
        <w:rPr>
          <w:lang w:val="fr-CA"/>
        </w:rPr>
        <w:t xml:space="preserve"> de grande taille</w:t>
      </w:r>
      <w:r w:rsidRPr="00D81DCF">
        <w:rPr>
          <w:lang w:val="fr-CA"/>
        </w:rPr>
        <w:t xml:space="preserve"> ou</w:t>
      </w:r>
      <w:r w:rsidR="00851403">
        <w:rPr>
          <w:lang w:val="fr-CA"/>
        </w:rPr>
        <w:t xml:space="preserve"> très complexes et</w:t>
      </w:r>
      <w:r w:rsidRPr="00D81DCF">
        <w:rPr>
          <w:lang w:val="fr-CA"/>
        </w:rPr>
        <w:t xml:space="preserve"> </w:t>
      </w:r>
      <w:r w:rsidR="001A2380">
        <w:rPr>
          <w:lang w:val="fr-CA"/>
        </w:rPr>
        <w:t xml:space="preserve">dans </w:t>
      </w:r>
      <w:r w:rsidRPr="00D81DCF">
        <w:rPr>
          <w:lang w:val="fr-CA"/>
        </w:rPr>
        <w:t>des</w:t>
      </w:r>
      <w:r w:rsidR="001A2380">
        <w:rPr>
          <w:lang w:val="fr-CA"/>
        </w:rPr>
        <w:t xml:space="preserve"> aires étendues</w:t>
      </w:r>
      <w:r w:rsidRPr="00D81DCF">
        <w:rPr>
          <w:lang w:val="fr-CA"/>
        </w:rPr>
        <w:t>;</w:t>
      </w:r>
    </w:p>
    <w:p w14:paraId="7DBA5493" w14:textId="38F6354A" w:rsidR="007436CD" w:rsidRPr="00D81DCF" w:rsidRDefault="00AB54E7" w:rsidP="003F66F0">
      <w:pPr>
        <w:pStyle w:val="ListRef"/>
        <w:numPr>
          <w:ilvl w:val="0"/>
          <w:numId w:val="23"/>
        </w:numPr>
        <w:rPr>
          <w:lang w:val="fr-CA"/>
        </w:rPr>
      </w:pPr>
      <w:proofErr w:type="gramStart"/>
      <w:r>
        <w:rPr>
          <w:lang w:val="fr-CA"/>
        </w:rPr>
        <w:t>avoir</w:t>
      </w:r>
      <w:proofErr w:type="gramEnd"/>
      <w:r w:rsidR="007436CD" w:rsidRPr="00D81DCF">
        <w:rPr>
          <w:lang w:val="fr-CA"/>
        </w:rPr>
        <w:t xml:space="preserve"> de</w:t>
      </w:r>
      <w:r w:rsidR="00F705E8">
        <w:rPr>
          <w:lang w:val="fr-CA"/>
        </w:rPr>
        <w:t xml:space="preserve">s voies de circulation </w:t>
      </w:r>
      <w:r w:rsidR="007436CD" w:rsidRPr="00D81DCF">
        <w:rPr>
          <w:lang w:val="fr-CA"/>
        </w:rPr>
        <w:t xml:space="preserve">détectables </w:t>
      </w:r>
      <w:r w:rsidR="00233323">
        <w:rPr>
          <w:lang w:val="fr-CA"/>
        </w:rPr>
        <w:t>présentant</w:t>
      </w:r>
      <w:r w:rsidR="007436CD" w:rsidRPr="00D81DCF">
        <w:rPr>
          <w:lang w:val="fr-CA"/>
        </w:rPr>
        <w:t xml:space="preserve"> </w:t>
      </w:r>
      <w:r w:rsidR="00233323">
        <w:rPr>
          <w:lang w:val="fr-CA"/>
        </w:rPr>
        <w:t xml:space="preserve">un </w:t>
      </w:r>
      <w:r w:rsidR="007436CD" w:rsidRPr="00D81DCF">
        <w:rPr>
          <w:lang w:val="fr-CA"/>
        </w:rPr>
        <w:t xml:space="preserve">contraste visuel </w:t>
      </w:r>
      <w:r w:rsidR="00233323">
        <w:rPr>
          <w:lang w:val="fr-CA"/>
        </w:rPr>
        <w:t>par rapport aux</w:t>
      </w:r>
      <w:r w:rsidR="007436CD" w:rsidRPr="00D81DCF">
        <w:rPr>
          <w:lang w:val="fr-CA"/>
        </w:rPr>
        <w:t xml:space="preserve"> murs adjacents </w:t>
      </w:r>
      <w:r w:rsidR="00233323">
        <w:rPr>
          <w:lang w:val="fr-CA"/>
        </w:rPr>
        <w:t>afin de</w:t>
      </w:r>
      <w:r w:rsidR="007436CD" w:rsidRPr="00D81DCF">
        <w:rPr>
          <w:lang w:val="fr-CA"/>
        </w:rPr>
        <w:t xml:space="preserve"> faciliter la navigation dans </w:t>
      </w:r>
      <w:r w:rsidR="00233323">
        <w:rPr>
          <w:lang w:val="fr-CA"/>
        </w:rPr>
        <w:t>les</w:t>
      </w:r>
      <w:r w:rsidR="007436CD" w:rsidRPr="00D81DCF">
        <w:rPr>
          <w:lang w:val="fr-CA"/>
        </w:rPr>
        <w:t xml:space="preserve"> bâtiments </w:t>
      </w:r>
      <w:r w:rsidR="00233323">
        <w:rPr>
          <w:lang w:val="fr-CA"/>
        </w:rPr>
        <w:t xml:space="preserve">de grande taille ou très </w:t>
      </w:r>
      <w:r w:rsidR="007436CD" w:rsidRPr="00D81DCF">
        <w:rPr>
          <w:lang w:val="fr-CA"/>
        </w:rPr>
        <w:t xml:space="preserve">complexes et </w:t>
      </w:r>
      <w:r w:rsidR="00233323">
        <w:rPr>
          <w:lang w:val="fr-CA"/>
        </w:rPr>
        <w:t>dans les aires étendues</w:t>
      </w:r>
      <w:r w:rsidR="007436CD" w:rsidRPr="00D81DCF">
        <w:rPr>
          <w:lang w:val="fr-CA"/>
        </w:rPr>
        <w:t>; et</w:t>
      </w:r>
    </w:p>
    <w:p w14:paraId="704B7807" w14:textId="6D046FB2" w:rsidR="007436CD" w:rsidRPr="00D81DCF" w:rsidRDefault="00AB54E7" w:rsidP="003F66F0">
      <w:pPr>
        <w:pStyle w:val="ListRef"/>
        <w:numPr>
          <w:ilvl w:val="0"/>
          <w:numId w:val="23"/>
        </w:numPr>
        <w:rPr>
          <w:lang w:val="fr-CA"/>
        </w:rPr>
      </w:pPr>
      <w:proofErr w:type="gramStart"/>
      <w:r>
        <w:rPr>
          <w:lang w:val="fr-CA"/>
        </w:rPr>
        <w:t>avoir</w:t>
      </w:r>
      <w:proofErr w:type="gramEnd"/>
      <w:r w:rsidR="007436CD" w:rsidRPr="00D81DCF">
        <w:rPr>
          <w:lang w:val="fr-CA"/>
        </w:rPr>
        <w:t xml:space="preserve"> </w:t>
      </w:r>
      <w:r w:rsidR="00EF14D9">
        <w:rPr>
          <w:lang w:val="fr-CA"/>
        </w:rPr>
        <w:t>d</w:t>
      </w:r>
      <w:r w:rsidR="007436CD" w:rsidRPr="00D81DCF">
        <w:rPr>
          <w:lang w:val="fr-CA"/>
        </w:rPr>
        <w:t xml:space="preserve">es </w:t>
      </w:r>
      <w:r w:rsidR="002051D6">
        <w:rPr>
          <w:lang w:val="fr-CA"/>
        </w:rPr>
        <w:t>voies</w:t>
      </w:r>
      <w:r w:rsidR="007436CD" w:rsidRPr="00D81DCF">
        <w:rPr>
          <w:lang w:val="fr-CA"/>
        </w:rPr>
        <w:t xml:space="preserve"> de circulation </w:t>
      </w:r>
      <w:r w:rsidR="00EF1FD9">
        <w:rPr>
          <w:lang w:val="fr-CA"/>
        </w:rPr>
        <w:t xml:space="preserve">qui </w:t>
      </w:r>
      <w:r w:rsidR="007436CD" w:rsidRPr="00D81DCF">
        <w:rPr>
          <w:lang w:val="fr-CA"/>
        </w:rPr>
        <w:t xml:space="preserve">maintiennent un contraste minimal de luminance avec </w:t>
      </w:r>
      <w:r w:rsidR="00D645B9">
        <w:rPr>
          <w:lang w:val="fr-CA"/>
        </w:rPr>
        <w:t>le milieu</w:t>
      </w:r>
      <w:r w:rsidR="007436CD" w:rsidRPr="00D81DCF">
        <w:rPr>
          <w:lang w:val="fr-CA"/>
        </w:rPr>
        <w:t xml:space="preserve"> environnant, comme indiqué à l</w:t>
      </w:r>
      <w:r w:rsidR="00932E82">
        <w:rPr>
          <w:lang w:val="fr-CA"/>
        </w:rPr>
        <w:t>’article</w:t>
      </w:r>
      <w:r w:rsidR="007436CD" w:rsidRPr="00D81DCF">
        <w:rPr>
          <w:lang w:val="fr-CA"/>
        </w:rPr>
        <w:t xml:space="preserve"> </w:t>
      </w:r>
      <w:r w:rsidR="00A13338">
        <w:fldChar w:fldCharType="begin"/>
      </w:r>
      <w:r w:rsidR="00A13338" w:rsidRPr="007C0FBA">
        <w:rPr>
          <w:lang w:val="fr-CA"/>
        </w:rPr>
        <w:instrText>HYPERLINK \l "_Luminance_contrast"</w:instrText>
      </w:r>
      <w:r w:rsidR="00A13338">
        <w:fldChar w:fldCharType="separate"/>
      </w:r>
      <w:r w:rsidR="00A13338" w:rsidRPr="00D81DCF">
        <w:rPr>
          <w:rStyle w:val="Hyperlink"/>
          <w:lang w:val="fr-CA"/>
        </w:rPr>
        <w:t>1</w:t>
      </w:r>
      <w:r w:rsidR="009B47F1">
        <w:rPr>
          <w:rStyle w:val="Hyperlink"/>
          <w:lang w:val="fr-CA"/>
        </w:rPr>
        <w:t>0</w:t>
      </w:r>
      <w:r w:rsidR="00A13338" w:rsidRPr="00D81DCF">
        <w:rPr>
          <w:rStyle w:val="Hyperlink"/>
          <w:lang w:val="fr-CA"/>
        </w:rPr>
        <w:t>.2</w:t>
      </w:r>
      <w:r w:rsidR="00A13338">
        <w:fldChar w:fldCharType="end"/>
      </w:r>
      <w:r w:rsidR="003703FB">
        <w:rPr>
          <w:lang w:val="fr-CA"/>
        </w:rPr>
        <w:t xml:space="preserve">, </w:t>
      </w:r>
      <w:r w:rsidR="007436CD" w:rsidRPr="00D81DCF">
        <w:rPr>
          <w:lang w:val="fr-CA"/>
        </w:rPr>
        <w:t xml:space="preserve">dans les bâtiments </w:t>
      </w:r>
      <w:r w:rsidR="00932E82">
        <w:rPr>
          <w:lang w:val="fr-CA"/>
        </w:rPr>
        <w:t>de grande taille ou très complexes et dans les aires</w:t>
      </w:r>
      <w:r w:rsidR="007436CD" w:rsidRPr="00D81DCF">
        <w:rPr>
          <w:lang w:val="fr-CA"/>
        </w:rPr>
        <w:t xml:space="preserve"> étendues.</w:t>
      </w:r>
    </w:p>
    <w:p w14:paraId="1A4894DD" w14:textId="64DA8605" w:rsidR="007436CD" w:rsidRPr="00D81DCF" w:rsidRDefault="003703FB" w:rsidP="007436CD">
      <w:pPr>
        <w:rPr>
          <w:lang w:val="fr-CA"/>
        </w:rPr>
      </w:pPr>
      <w:r>
        <w:rPr>
          <w:rStyle w:val="EmphasisUseSparingly"/>
          <w:lang w:val="fr-CA"/>
        </w:rPr>
        <w:t>Remarque</w:t>
      </w:r>
      <w:r w:rsidR="007436CD" w:rsidRPr="00D81DCF">
        <w:rPr>
          <w:rStyle w:val="EmphasisUseSparingly"/>
          <w:lang w:val="fr-CA"/>
        </w:rPr>
        <w:t xml:space="preserve"> 1</w:t>
      </w:r>
      <w:r w:rsidR="00F1547A">
        <w:rPr>
          <w:rStyle w:val="EmphasisUseSparingly"/>
          <w:lang w:val="fr-CA"/>
        </w:rPr>
        <w:t> </w:t>
      </w:r>
      <w:r w:rsidR="007436CD" w:rsidRPr="00D81DCF">
        <w:rPr>
          <w:rStyle w:val="EmphasisUseSparingly"/>
          <w:lang w:val="fr-CA"/>
        </w:rPr>
        <w:t>:</w:t>
      </w:r>
      <w:r w:rsidR="007436CD" w:rsidRPr="00D81DCF">
        <w:rPr>
          <w:lang w:val="fr-CA"/>
        </w:rPr>
        <w:t xml:space="preserve"> Les systèmes d</w:t>
      </w:r>
      <w:r w:rsidR="007F197F">
        <w:rPr>
          <w:lang w:val="fr-CA"/>
        </w:rPr>
        <w:t>’</w:t>
      </w:r>
      <w:r w:rsidR="007436CD" w:rsidRPr="00D81DCF">
        <w:rPr>
          <w:lang w:val="fr-CA"/>
        </w:rPr>
        <w:t>orientation complètent</w:t>
      </w:r>
      <w:r w:rsidR="006700D4">
        <w:rPr>
          <w:lang w:val="fr-CA"/>
        </w:rPr>
        <w:t>,</w:t>
      </w:r>
      <w:r w:rsidR="007436CD" w:rsidRPr="00D81DCF">
        <w:rPr>
          <w:lang w:val="fr-CA"/>
        </w:rPr>
        <w:t xml:space="preserve"> mais ne remplacent pas le besoin d</w:t>
      </w:r>
      <w:r w:rsidR="007F197F">
        <w:rPr>
          <w:lang w:val="fr-CA"/>
        </w:rPr>
        <w:t>’</w:t>
      </w:r>
      <w:r w:rsidR="007436CD" w:rsidRPr="00D81DCF">
        <w:rPr>
          <w:lang w:val="fr-CA"/>
        </w:rPr>
        <w:t>un service à la clientèle accessible.</w:t>
      </w:r>
    </w:p>
    <w:p w14:paraId="6D83A08C" w14:textId="0A7AFEB8" w:rsidR="007436CD" w:rsidRPr="00D81DCF" w:rsidRDefault="00B37DA9" w:rsidP="007436CD">
      <w:pPr>
        <w:rPr>
          <w:rStyle w:val="EmphasisUseSparingly"/>
          <w:lang w:val="fr-CA"/>
        </w:rPr>
      </w:pPr>
      <w:r>
        <w:rPr>
          <w:rStyle w:val="EmphasisUseSparingly"/>
          <w:lang w:val="fr-CA"/>
        </w:rPr>
        <w:t>Remarque</w:t>
      </w:r>
      <w:r w:rsidR="007436CD" w:rsidRPr="00D81DCF">
        <w:rPr>
          <w:rStyle w:val="EmphasisUseSparingly"/>
          <w:lang w:val="fr-CA"/>
        </w:rPr>
        <w:t xml:space="preserve"> 2</w:t>
      </w:r>
      <w:r w:rsidR="00F1547A">
        <w:rPr>
          <w:rStyle w:val="EmphasisUseSparingly"/>
          <w:lang w:val="fr-CA"/>
        </w:rPr>
        <w:t> </w:t>
      </w:r>
      <w:r w:rsidR="007436CD" w:rsidRPr="00D81DCF">
        <w:rPr>
          <w:rStyle w:val="EmphasisUseSparingly"/>
          <w:lang w:val="fr-CA"/>
        </w:rPr>
        <w:t xml:space="preserve">: </w:t>
      </w:r>
      <w:r w:rsidR="007436CD" w:rsidRPr="00D81DCF">
        <w:rPr>
          <w:lang w:val="fr-CA"/>
        </w:rPr>
        <w:t>Considérez les niveaux de bruit ambiant, les options de placement et l</w:t>
      </w:r>
      <w:r w:rsidR="007F197F">
        <w:rPr>
          <w:lang w:val="fr-CA"/>
        </w:rPr>
        <w:t>’</w:t>
      </w:r>
      <w:r w:rsidR="007436CD" w:rsidRPr="00D81DCF">
        <w:rPr>
          <w:lang w:val="fr-CA"/>
        </w:rPr>
        <w:t>identification des informations tactiles afin d</w:t>
      </w:r>
      <w:r w:rsidR="007F197F">
        <w:rPr>
          <w:lang w:val="fr-CA"/>
        </w:rPr>
        <w:t>’</w:t>
      </w:r>
      <w:r w:rsidR="007436CD" w:rsidRPr="00D81DCF">
        <w:rPr>
          <w:lang w:val="fr-CA"/>
        </w:rPr>
        <w:t>évaluer si les informations visuelles doivent être appuyées par des éléments sonores et tactiles.</w:t>
      </w:r>
    </w:p>
    <w:p w14:paraId="1A07693F" w14:textId="7B08508C" w:rsidR="00BC47D7" w:rsidRPr="00D81DCF" w:rsidRDefault="00FF6072" w:rsidP="007436CD">
      <w:pPr>
        <w:rPr>
          <w:lang w:val="fr-CA"/>
        </w:rPr>
      </w:pPr>
      <w:r>
        <w:rPr>
          <w:rStyle w:val="EmphasisUseSparingly"/>
          <w:lang w:val="fr-CA"/>
        </w:rPr>
        <w:t>Remarque</w:t>
      </w:r>
      <w:r w:rsidR="007436CD" w:rsidRPr="00D81DCF">
        <w:rPr>
          <w:rStyle w:val="EmphasisUseSparingly"/>
          <w:lang w:val="fr-CA"/>
        </w:rPr>
        <w:t xml:space="preserve"> 3</w:t>
      </w:r>
      <w:r w:rsidR="00F1547A">
        <w:rPr>
          <w:rStyle w:val="EmphasisUseSparingly"/>
          <w:lang w:val="fr-CA"/>
        </w:rPr>
        <w:t> </w:t>
      </w:r>
      <w:r w:rsidR="007436CD" w:rsidRPr="00D81DCF">
        <w:rPr>
          <w:rStyle w:val="EmphasisUseSparingly"/>
          <w:lang w:val="fr-CA"/>
        </w:rPr>
        <w:t>:</w:t>
      </w:r>
      <w:r w:rsidR="007436CD" w:rsidRPr="00D81DCF">
        <w:rPr>
          <w:lang w:val="fr-CA"/>
        </w:rPr>
        <w:t xml:space="preserve"> Pour faciliter la navigation et l</w:t>
      </w:r>
      <w:r w:rsidR="007F197F">
        <w:rPr>
          <w:lang w:val="fr-CA"/>
        </w:rPr>
        <w:t>’</w:t>
      </w:r>
      <w:r w:rsidR="007436CD" w:rsidRPr="00D81DCF">
        <w:rPr>
          <w:lang w:val="fr-CA"/>
        </w:rPr>
        <w:t xml:space="preserve">orientation, prévoyez des </w:t>
      </w:r>
      <w:r w:rsidR="00C92C88">
        <w:rPr>
          <w:lang w:val="fr-CA"/>
        </w:rPr>
        <w:t>voies de circulation</w:t>
      </w:r>
      <w:r w:rsidR="007436CD" w:rsidRPr="00D81DCF">
        <w:rPr>
          <w:lang w:val="fr-CA"/>
        </w:rPr>
        <w:t xml:space="preserve"> qui se croisent à des angles perpendiculaires </w:t>
      </w:r>
      <w:r w:rsidR="00CC54F4">
        <w:rPr>
          <w:lang w:val="fr-CA"/>
        </w:rPr>
        <w:t>dans la mesure du</w:t>
      </w:r>
      <w:r w:rsidR="007436CD" w:rsidRPr="00D81DCF">
        <w:rPr>
          <w:lang w:val="fr-CA"/>
        </w:rPr>
        <w:t xml:space="preserve"> possible.</w:t>
      </w:r>
    </w:p>
    <w:p w14:paraId="4FE57149" w14:textId="489A52AC" w:rsidR="0004251C" w:rsidRDefault="0004251C" w:rsidP="0004251C">
      <w:pPr>
        <w:pStyle w:val="Heading2"/>
      </w:pPr>
      <w:bookmarkStart w:id="584" w:name="_Obstacles"/>
      <w:bookmarkStart w:id="585" w:name="_Toc219706201"/>
      <w:bookmarkEnd w:id="584"/>
      <w:r>
        <w:lastRenderedPageBreak/>
        <w:t>Obstacles</w:t>
      </w:r>
      <w:bookmarkEnd w:id="585"/>
    </w:p>
    <w:p w14:paraId="0102C232" w14:textId="4E9322C7" w:rsidR="0004251C" w:rsidRPr="006E2C2E" w:rsidRDefault="0004251C" w:rsidP="0004251C">
      <w:pPr>
        <w:rPr>
          <w:lang w:val="fr-CA"/>
        </w:rPr>
      </w:pPr>
      <w:r w:rsidRPr="006E2C2E">
        <w:rPr>
          <w:lang w:val="fr-CA"/>
        </w:rPr>
        <w:t>Des objets décoratifs, des arbres, des jardinières et d</w:t>
      </w:r>
      <w:r w:rsidR="007F197F">
        <w:rPr>
          <w:lang w:val="fr-CA"/>
        </w:rPr>
        <w:t>’</w:t>
      </w:r>
      <w:r w:rsidRPr="006E2C2E">
        <w:rPr>
          <w:lang w:val="fr-CA"/>
        </w:rPr>
        <w:t xml:space="preserve">autres objets sont souvent placés le long des </w:t>
      </w:r>
      <w:r w:rsidR="00C47F80">
        <w:rPr>
          <w:lang w:val="fr-CA"/>
        </w:rPr>
        <w:t>voies de circulation</w:t>
      </w:r>
      <w:r w:rsidRPr="006E2C2E">
        <w:rPr>
          <w:lang w:val="fr-CA"/>
        </w:rPr>
        <w:t>. Bien qu</w:t>
      </w:r>
      <w:r w:rsidR="007F197F">
        <w:rPr>
          <w:lang w:val="fr-CA"/>
        </w:rPr>
        <w:t>’</w:t>
      </w:r>
      <w:r w:rsidRPr="006E2C2E">
        <w:rPr>
          <w:lang w:val="fr-CA"/>
        </w:rPr>
        <w:t>il soit important d</w:t>
      </w:r>
      <w:r w:rsidR="007F197F">
        <w:rPr>
          <w:lang w:val="fr-CA"/>
        </w:rPr>
        <w:t>’</w:t>
      </w:r>
      <w:r w:rsidRPr="006E2C2E">
        <w:rPr>
          <w:lang w:val="fr-CA"/>
        </w:rPr>
        <w:t>embellir l</w:t>
      </w:r>
      <w:r w:rsidR="007F197F">
        <w:rPr>
          <w:lang w:val="fr-CA"/>
        </w:rPr>
        <w:t>’</w:t>
      </w:r>
      <w:r w:rsidRPr="006E2C2E">
        <w:rPr>
          <w:lang w:val="fr-CA"/>
        </w:rPr>
        <w:t>environnement pour créer une atmosphère, les informations ci-dessous seront utiles pour établir des moyens d</w:t>
      </w:r>
      <w:r w:rsidR="007F197F">
        <w:rPr>
          <w:lang w:val="fr-CA"/>
        </w:rPr>
        <w:t>’</w:t>
      </w:r>
      <w:r w:rsidRPr="006E2C2E">
        <w:rPr>
          <w:lang w:val="fr-CA"/>
        </w:rPr>
        <w:t>atteindre ce qui est nécessaire sans mettre les autres en danger.</w:t>
      </w:r>
    </w:p>
    <w:p w14:paraId="53EE88CB" w14:textId="554FF6AB" w:rsidR="0004251C" w:rsidRDefault="00354FCD" w:rsidP="00354FCD">
      <w:pPr>
        <w:pStyle w:val="Heading3"/>
        <w:rPr>
          <w:lang w:val="fr-CA"/>
        </w:rPr>
      </w:pPr>
      <w:bookmarkStart w:id="586" w:name="_Obstacles_on_paths"/>
      <w:bookmarkStart w:id="587" w:name="_Toc219706202"/>
      <w:bookmarkEnd w:id="586"/>
      <w:r w:rsidRPr="006E2C2E">
        <w:rPr>
          <w:lang w:val="fr-CA"/>
        </w:rPr>
        <w:t xml:space="preserve">Obstacles sur les </w:t>
      </w:r>
      <w:r w:rsidR="00AF7C4E">
        <w:rPr>
          <w:lang w:val="fr-CA"/>
        </w:rPr>
        <w:t>voies de circulation</w:t>
      </w:r>
      <w:bookmarkEnd w:id="587"/>
    </w:p>
    <w:p w14:paraId="54C5CD3E" w14:textId="09070479" w:rsidR="005B6035" w:rsidRPr="006E2C2E" w:rsidRDefault="005B6035" w:rsidP="005B6035">
      <w:pPr>
        <w:rPr>
          <w:lang w:val="fr-CA"/>
        </w:rPr>
      </w:pPr>
      <w:r w:rsidRPr="006E2C2E">
        <w:rPr>
          <w:lang w:val="fr-CA"/>
        </w:rPr>
        <w:t xml:space="preserve">Les </w:t>
      </w:r>
      <w:r w:rsidR="00443828">
        <w:rPr>
          <w:lang w:val="fr-CA"/>
        </w:rPr>
        <w:t>voies de circulation</w:t>
      </w:r>
      <w:r w:rsidRPr="006E2C2E">
        <w:rPr>
          <w:lang w:val="fr-CA"/>
        </w:rPr>
        <w:t xml:space="preserve"> doivent</w:t>
      </w:r>
      <w:r w:rsidR="00F1547A">
        <w:rPr>
          <w:lang w:val="fr-CA"/>
        </w:rPr>
        <w:t> </w:t>
      </w:r>
      <w:r w:rsidRPr="006E2C2E">
        <w:rPr>
          <w:lang w:val="fr-CA"/>
        </w:rPr>
        <w:t>:</w:t>
      </w:r>
    </w:p>
    <w:p w14:paraId="435F968B" w14:textId="77777777" w:rsidR="005B6035" w:rsidRPr="006E2C2E" w:rsidRDefault="005B6035" w:rsidP="003F66F0">
      <w:pPr>
        <w:pStyle w:val="ListRef"/>
        <w:numPr>
          <w:ilvl w:val="0"/>
          <w:numId w:val="24"/>
        </w:numPr>
        <w:rPr>
          <w:lang w:val="fr-CA"/>
        </w:rPr>
      </w:pPr>
      <w:proofErr w:type="gramStart"/>
      <w:r w:rsidRPr="006E2C2E">
        <w:rPr>
          <w:lang w:val="fr-CA"/>
        </w:rPr>
        <w:t>se</w:t>
      </w:r>
      <w:proofErr w:type="gramEnd"/>
      <w:r w:rsidRPr="006E2C2E">
        <w:rPr>
          <w:lang w:val="fr-CA"/>
        </w:rPr>
        <w:t xml:space="preserve"> conformer à CSA/ASC B651:23;</w:t>
      </w:r>
    </w:p>
    <w:p w14:paraId="451F363A" w14:textId="2FF4E7A6" w:rsidR="005B6035" w:rsidRPr="006E2C2E" w:rsidRDefault="005B6035" w:rsidP="003F66F0">
      <w:pPr>
        <w:pStyle w:val="ListRef"/>
        <w:numPr>
          <w:ilvl w:val="0"/>
          <w:numId w:val="24"/>
        </w:numPr>
        <w:rPr>
          <w:lang w:val="fr-CA"/>
        </w:rPr>
      </w:pPr>
      <w:proofErr w:type="gramStart"/>
      <w:r w:rsidRPr="006E2C2E">
        <w:rPr>
          <w:lang w:val="fr-CA"/>
        </w:rPr>
        <w:t>ne</w:t>
      </w:r>
      <w:proofErr w:type="gramEnd"/>
      <w:r w:rsidRPr="006E2C2E">
        <w:rPr>
          <w:lang w:val="fr-CA"/>
        </w:rPr>
        <w:t xml:space="preserve"> pas avoir d</w:t>
      </w:r>
      <w:r w:rsidR="007F197F">
        <w:rPr>
          <w:lang w:val="fr-CA"/>
        </w:rPr>
        <w:t>’</w:t>
      </w:r>
      <w:r w:rsidRPr="006E2C2E">
        <w:rPr>
          <w:lang w:val="fr-CA"/>
        </w:rPr>
        <w:t>éléments d</w:t>
      </w:r>
      <w:r w:rsidR="007F197F">
        <w:rPr>
          <w:lang w:val="fr-CA"/>
        </w:rPr>
        <w:t>’</w:t>
      </w:r>
      <w:r w:rsidRPr="006E2C2E">
        <w:rPr>
          <w:lang w:val="fr-CA"/>
        </w:rPr>
        <w:t>orientation ou de signalisation qui obstruent l</w:t>
      </w:r>
      <w:r w:rsidR="00E65769">
        <w:rPr>
          <w:lang w:val="fr-CA"/>
        </w:rPr>
        <w:t>a</w:t>
      </w:r>
      <w:r w:rsidRPr="006E2C2E">
        <w:rPr>
          <w:lang w:val="fr-CA"/>
        </w:rPr>
        <w:t xml:space="preserve"> </w:t>
      </w:r>
      <w:r w:rsidR="00461C88">
        <w:rPr>
          <w:lang w:val="fr-CA"/>
        </w:rPr>
        <w:t xml:space="preserve">voie de circulation </w:t>
      </w:r>
      <w:r w:rsidRPr="006E2C2E">
        <w:rPr>
          <w:lang w:val="fr-CA"/>
        </w:rPr>
        <w:t>conformément à CSA/ASC B651:23;</w:t>
      </w:r>
    </w:p>
    <w:p w14:paraId="59701FD7" w14:textId="60DB26BD" w:rsidR="005B6035" w:rsidRPr="006E2C2E" w:rsidRDefault="005B6035" w:rsidP="003F66F0">
      <w:pPr>
        <w:pStyle w:val="ListRef"/>
        <w:numPr>
          <w:ilvl w:val="0"/>
          <w:numId w:val="24"/>
        </w:numPr>
        <w:rPr>
          <w:lang w:val="fr-CA"/>
        </w:rPr>
      </w:pPr>
      <w:proofErr w:type="gramStart"/>
      <w:r w:rsidRPr="006E2C2E">
        <w:rPr>
          <w:lang w:val="fr-CA"/>
        </w:rPr>
        <w:t>avoir</w:t>
      </w:r>
      <w:proofErr w:type="gramEnd"/>
      <w:r w:rsidRPr="006E2C2E">
        <w:rPr>
          <w:lang w:val="fr-CA"/>
        </w:rPr>
        <w:t xml:space="preserve"> des marqu</w:t>
      </w:r>
      <w:r w:rsidR="005B5BC4">
        <w:rPr>
          <w:lang w:val="fr-CA"/>
        </w:rPr>
        <w:t>ages</w:t>
      </w:r>
      <w:r w:rsidRPr="006E2C2E">
        <w:rPr>
          <w:lang w:val="fr-CA"/>
        </w:rPr>
        <w:t xml:space="preserve"> visuellement contras</w:t>
      </w:r>
      <w:r w:rsidR="005B5BC4">
        <w:rPr>
          <w:lang w:val="fr-CA"/>
        </w:rPr>
        <w:t>t</w:t>
      </w:r>
      <w:r w:rsidR="005B5BC4">
        <w:rPr>
          <w:rFonts w:cs="Arial"/>
          <w:lang w:val="fr-CA"/>
        </w:rPr>
        <w:t>é</w:t>
      </w:r>
      <w:r w:rsidR="005B5BC4">
        <w:rPr>
          <w:lang w:val="fr-CA"/>
        </w:rPr>
        <w:t>s</w:t>
      </w:r>
      <w:r w:rsidRPr="006E2C2E">
        <w:rPr>
          <w:lang w:val="fr-CA"/>
        </w:rPr>
        <w:t xml:space="preserve"> </w:t>
      </w:r>
      <w:r w:rsidR="005B5BC4">
        <w:rPr>
          <w:lang w:val="fr-CA"/>
        </w:rPr>
        <w:t>afin d’</w:t>
      </w:r>
      <w:r w:rsidR="00443828">
        <w:rPr>
          <w:lang w:val="fr-CA"/>
        </w:rPr>
        <w:t>accentuer</w:t>
      </w:r>
      <w:r w:rsidRPr="006E2C2E">
        <w:rPr>
          <w:lang w:val="fr-CA"/>
        </w:rPr>
        <w:t xml:space="preserve"> la présence d</w:t>
      </w:r>
      <w:r w:rsidR="007F197F">
        <w:rPr>
          <w:lang w:val="fr-CA"/>
        </w:rPr>
        <w:t>’</w:t>
      </w:r>
      <w:r w:rsidRPr="006E2C2E">
        <w:rPr>
          <w:lang w:val="fr-CA"/>
        </w:rPr>
        <w:t xml:space="preserve">obstacles transparents, </w:t>
      </w:r>
      <w:r w:rsidR="005B5BC4">
        <w:rPr>
          <w:lang w:val="fr-CA"/>
        </w:rPr>
        <w:t>tels que</w:t>
      </w:r>
      <w:r w:rsidRPr="006E2C2E">
        <w:rPr>
          <w:lang w:val="fr-CA"/>
        </w:rPr>
        <w:t xml:space="preserve"> des murs ou panneaux en verre;</w:t>
      </w:r>
      <w:r w:rsidR="00973751">
        <w:rPr>
          <w:lang w:val="fr-CA"/>
        </w:rPr>
        <w:t xml:space="preserve"> et</w:t>
      </w:r>
    </w:p>
    <w:p w14:paraId="3D8273F7" w14:textId="33520227" w:rsidR="005B6035" w:rsidRPr="006E2C2E" w:rsidRDefault="009B265A" w:rsidP="003F66F0">
      <w:pPr>
        <w:pStyle w:val="ListRef"/>
        <w:numPr>
          <w:ilvl w:val="0"/>
          <w:numId w:val="24"/>
        </w:numPr>
        <w:rPr>
          <w:lang w:val="fr-CA"/>
        </w:rPr>
      </w:pPr>
      <w:proofErr w:type="gramStart"/>
      <w:r>
        <w:rPr>
          <w:lang w:val="fr-CA"/>
        </w:rPr>
        <w:t>a</w:t>
      </w:r>
      <w:r w:rsidR="005B6035" w:rsidRPr="006E2C2E">
        <w:rPr>
          <w:lang w:val="fr-CA"/>
        </w:rPr>
        <w:t>voir</w:t>
      </w:r>
      <w:proofErr w:type="gramEnd"/>
      <w:r w:rsidR="005B6035" w:rsidRPr="006E2C2E">
        <w:rPr>
          <w:lang w:val="fr-CA"/>
        </w:rPr>
        <w:t xml:space="preserve"> des plans d</w:t>
      </w:r>
      <w:r w:rsidR="007F197F">
        <w:rPr>
          <w:lang w:val="fr-CA"/>
        </w:rPr>
        <w:t>’</w:t>
      </w:r>
      <w:r w:rsidR="005B6035" w:rsidRPr="006E2C2E">
        <w:rPr>
          <w:lang w:val="fr-CA"/>
        </w:rPr>
        <w:t>entretien comprenant des dispositions pour le dégagement et la réparation de tous les éléments d</w:t>
      </w:r>
      <w:r w:rsidR="00746F85">
        <w:rPr>
          <w:lang w:val="fr-CA"/>
        </w:rPr>
        <w:t>’</w:t>
      </w:r>
      <w:r w:rsidR="005B6035" w:rsidRPr="006E2C2E">
        <w:rPr>
          <w:lang w:val="fr-CA"/>
        </w:rPr>
        <w:t>orientation et de signalisation qui font partie de l</w:t>
      </w:r>
      <w:r w:rsidR="00746F85">
        <w:rPr>
          <w:lang w:val="fr-CA"/>
        </w:rPr>
        <w:t>’</w:t>
      </w:r>
      <w:r w:rsidR="005B6035" w:rsidRPr="006E2C2E">
        <w:rPr>
          <w:lang w:val="fr-CA"/>
        </w:rPr>
        <w:t>espace.</w:t>
      </w:r>
    </w:p>
    <w:p w14:paraId="339B9595" w14:textId="484585EE" w:rsidR="000E34C4" w:rsidRPr="006E2C2E" w:rsidRDefault="006E2C2E" w:rsidP="00DF56A7">
      <w:pPr>
        <w:pStyle w:val="ListRef"/>
        <w:ind w:left="0" w:firstLine="0"/>
        <w:rPr>
          <w:lang w:val="fr-CA"/>
        </w:rPr>
      </w:pPr>
      <w:r>
        <w:rPr>
          <w:rStyle w:val="EmphasisUseSparingly"/>
          <w:lang w:val="fr-CA"/>
        </w:rPr>
        <w:t>Remarque</w:t>
      </w:r>
      <w:r w:rsidR="00F1547A">
        <w:rPr>
          <w:rStyle w:val="EmphasisUseSparingly"/>
          <w:lang w:val="fr-CA"/>
        </w:rPr>
        <w:t> </w:t>
      </w:r>
      <w:r w:rsidR="00930702" w:rsidRPr="006E2C2E">
        <w:rPr>
          <w:rStyle w:val="EmphasisUseSparingly"/>
          <w:lang w:val="fr-CA"/>
        </w:rPr>
        <w:t>:</w:t>
      </w:r>
      <w:r w:rsidR="00930702" w:rsidRPr="006E2C2E">
        <w:rPr>
          <w:lang w:val="fr-CA"/>
        </w:rPr>
        <w:t xml:space="preserve"> Lorsque les objets saillants ne peuvent pas être retirés, ils doivent être placés à l</w:t>
      </w:r>
      <w:r w:rsidR="00746F85">
        <w:rPr>
          <w:lang w:val="fr-CA"/>
        </w:rPr>
        <w:t>’</w:t>
      </w:r>
      <w:r w:rsidR="00930702" w:rsidRPr="006E2C2E">
        <w:rPr>
          <w:lang w:val="fr-CA"/>
        </w:rPr>
        <w:t>extérieur des voies de circulation ou en</w:t>
      </w:r>
      <w:r w:rsidR="00931A0E">
        <w:rPr>
          <w:lang w:val="fr-CA"/>
        </w:rPr>
        <w:t>castr</w:t>
      </w:r>
      <w:r w:rsidR="00931A0E">
        <w:rPr>
          <w:rFonts w:cs="Arial"/>
          <w:lang w:val="fr-CA"/>
        </w:rPr>
        <w:t>é</w:t>
      </w:r>
      <w:r w:rsidR="00931A0E">
        <w:rPr>
          <w:lang w:val="fr-CA"/>
        </w:rPr>
        <w:t>s</w:t>
      </w:r>
      <w:r w:rsidR="00930702" w:rsidRPr="006E2C2E">
        <w:rPr>
          <w:lang w:val="fr-CA"/>
        </w:rPr>
        <w:t xml:space="preserve"> afin de ne pas réduire la largeur nécessaire pour un passage sans obstruction pour toutes les personnes.</w:t>
      </w:r>
    </w:p>
    <w:p w14:paraId="7EF10CFE" w14:textId="04393F2D" w:rsidR="00D348CD" w:rsidRPr="001A1D4E" w:rsidRDefault="004B6170" w:rsidP="004B6170">
      <w:pPr>
        <w:pStyle w:val="Heading3"/>
        <w:rPr>
          <w:lang w:val="fr-CA"/>
        </w:rPr>
      </w:pPr>
      <w:bookmarkStart w:id="588" w:name="_Toc219706203"/>
      <w:r w:rsidRPr="006E2C2E">
        <w:rPr>
          <w:lang w:val="fr-CA"/>
        </w:rPr>
        <w:t>Bo</w:t>
      </w:r>
      <w:r w:rsidR="002153D3">
        <w:rPr>
          <w:lang w:val="fr-CA"/>
        </w:rPr>
        <w:t>llards</w:t>
      </w:r>
      <w:r w:rsidRPr="006E2C2E">
        <w:rPr>
          <w:lang w:val="fr-CA"/>
        </w:rPr>
        <w:t xml:space="preserve"> dans les </w:t>
      </w:r>
      <w:r w:rsidR="00984554">
        <w:rPr>
          <w:lang w:val="fr-CA"/>
        </w:rPr>
        <w:t>voies</w:t>
      </w:r>
      <w:r w:rsidRPr="001A1D4E">
        <w:rPr>
          <w:lang w:val="fr-CA"/>
        </w:rPr>
        <w:t xml:space="preserve"> de </w:t>
      </w:r>
      <w:r w:rsidR="00984554">
        <w:rPr>
          <w:lang w:val="fr-CA"/>
        </w:rPr>
        <w:t>circulation</w:t>
      </w:r>
      <w:bookmarkEnd w:id="588"/>
    </w:p>
    <w:p w14:paraId="7224A2FD" w14:textId="7A8FCE3B" w:rsidR="00FD75D3" w:rsidRPr="001A1D4E" w:rsidRDefault="00FD75D3" w:rsidP="00FD75D3">
      <w:pPr>
        <w:rPr>
          <w:lang w:val="fr-CA"/>
        </w:rPr>
      </w:pPr>
      <w:r w:rsidRPr="001A1D4E">
        <w:rPr>
          <w:lang w:val="fr-CA"/>
        </w:rPr>
        <w:t>Les bo</w:t>
      </w:r>
      <w:r w:rsidR="00984554">
        <w:rPr>
          <w:lang w:val="fr-CA"/>
        </w:rPr>
        <w:t>llards</w:t>
      </w:r>
      <w:r w:rsidRPr="001A1D4E">
        <w:rPr>
          <w:lang w:val="fr-CA"/>
        </w:rPr>
        <w:t xml:space="preserve"> dans les voies de </w:t>
      </w:r>
      <w:r w:rsidR="00984554">
        <w:rPr>
          <w:lang w:val="fr-CA"/>
        </w:rPr>
        <w:t>circulation</w:t>
      </w:r>
      <w:r w:rsidRPr="001A1D4E">
        <w:rPr>
          <w:lang w:val="fr-CA"/>
        </w:rPr>
        <w:t xml:space="preserve"> doivent</w:t>
      </w:r>
      <w:r w:rsidR="00F1547A">
        <w:rPr>
          <w:lang w:val="fr-CA"/>
        </w:rPr>
        <w:t> </w:t>
      </w:r>
      <w:r w:rsidRPr="001A1D4E">
        <w:rPr>
          <w:lang w:val="fr-CA"/>
        </w:rPr>
        <w:t>:</w:t>
      </w:r>
    </w:p>
    <w:p w14:paraId="028DAF83" w14:textId="6DA28310" w:rsidR="00FD75D3" w:rsidRPr="001A1D4E" w:rsidRDefault="00FD75D3" w:rsidP="003F66F0">
      <w:pPr>
        <w:pStyle w:val="ListRef"/>
        <w:numPr>
          <w:ilvl w:val="0"/>
          <w:numId w:val="75"/>
        </w:numPr>
        <w:rPr>
          <w:lang w:val="fr-CA"/>
        </w:rPr>
      </w:pPr>
      <w:proofErr w:type="gramStart"/>
      <w:r w:rsidRPr="001A1D4E">
        <w:rPr>
          <w:lang w:val="fr-CA"/>
        </w:rPr>
        <w:t>être</w:t>
      </w:r>
      <w:proofErr w:type="gramEnd"/>
      <w:r w:rsidRPr="001A1D4E">
        <w:rPr>
          <w:lang w:val="fr-CA"/>
        </w:rPr>
        <w:t xml:space="preserve"> placé</w:t>
      </w:r>
      <w:r w:rsidR="006462AE">
        <w:rPr>
          <w:lang w:val="fr-CA"/>
        </w:rPr>
        <w:t>s</w:t>
      </w:r>
      <w:r w:rsidRPr="001A1D4E">
        <w:rPr>
          <w:lang w:val="fr-CA"/>
        </w:rPr>
        <w:t xml:space="preserve"> conformément à CSA/ASC B651:23;</w:t>
      </w:r>
    </w:p>
    <w:p w14:paraId="1092E1C6" w14:textId="7D7D081F" w:rsidR="00FD75D3" w:rsidRPr="001A1D4E" w:rsidRDefault="00FD75D3" w:rsidP="003F66F0">
      <w:pPr>
        <w:pStyle w:val="ListRef"/>
        <w:numPr>
          <w:ilvl w:val="0"/>
          <w:numId w:val="75"/>
        </w:numPr>
        <w:rPr>
          <w:lang w:val="fr-CA"/>
        </w:rPr>
      </w:pPr>
      <w:proofErr w:type="gramStart"/>
      <w:r w:rsidRPr="001A1D4E">
        <w:rPr>
          <w:lang w:val="fr-CA"/>
        </w:rPr>
        <w:lastRenderedPageBreak/>
        <w:t>avoir</w:t>
      </w:r>
      <w:proofErr w:type="gramEnd"/>
      <w:r w:rsidRPr="001A1D4E">
        <w:rPr>
          <w:lang w:val="fr-CA"/>
        </w:rPr>
        <w:t xml:space="preserve"> une hauteur entre 500</w:t>
      </w:r>
      <w:r w:rsidR="00FA4FCB">
        <w:rPr>
          <w:lang w:val="fr-CA"/>
        </w:rPr>
        <w:t> </w:t>
      </w:r>
      <w:r w:rsidRPr="001A1D4E">
        <w:rPr>
          <w:lang w:val="fr-CA"/>
        </w:rPr>
        <w:t>mm et 1200</w:t>
      </w:r>
      <w:r w:rsidR="00FA4FCB">
        <w:rPr>
          <w:lang w:val="fr-CA"/>
        </w:rPr>
        <w:t> </w:t>
      </w:r>
      <w:r w:rsidRPr="001A1D4E">
        <w:rPr>
          <w:lang w:val="fr-CA"/>
        </w:rPr>
        <w:t>mm</w:t>
      </w:r>
      <w:r w:rsidR="00ED1AAA">
        <w:rPr>
          <w:lang w:val="fr-CA"/>
        </w:rPr>
        <w:t xml:space="preserve"> </w:t>
      </w:r>
      <w:r w:rsidRPr="001A1D4E">
        <w:rPr>
          <w:lang w:val="fr-CA"/>
        </w:rPr>
        <w:t>pour faciliter la détection par les piétons et les automobilistes;</w:t>
      </w:r>
    </w:p>
    <w:p w14:paraId="6DEC30B6" w14:textId="0AF92EDE" w:rsidR="00FD75D3" w:rsidRPr="001A1D4E" w:rsidRDefault="00FD75D3" w:rsidP="003F66F0">
      <w:pPr>
        <w:pStyle w:val="ListRef"/>
        <w:numPr>
          <w:ilvl w:val="0"/>
          <w:numId w:val="75"/>
        </w:numPr>
        <w:rPr>
          <w:lang w:val="fr-CA"/>
        </w:rPr>
      </w:pPr>
      <w:proofErr w:type="gramStart"/>
      <w:r w:rsidRPr="001A1D4E">
        <w:rPr>
          <w:lang w:val="fr-CA"/>
        </w:rPr>
        <w:t>avoir</w:t>
      </w:r>
      <w:proofErr w:type="gramEnd"/>
      <w:r w:rsidRPr="001A1D4E">
        <w:rPr>
          <w:lang w:val="fr-CA"/>
        </w:rPr>
        <w:t xml:space="preserve"> des marqu</w:t>
      </w:r>
      <w:r w:rsidR="0039212E">
        <w:rPr>
          <w:lang w:val="fr-CA"/>
        </w:rPr>
        <w:t>age</w:t>
      </w:r>
      <w:r w:rsidRPr="001A1D4E">
        <w:rPr>
          <w:lang w:val="fr-CA"/>
        </w:rPr>
        <w:t>s de contraste visuel en position supérieure pour être facilement détectées;</w:t>
      </w:r>
    </w:p>
    <w:p w14:paraId="1915A769" w14:textId="5191EE9B" w:rsidR="00FD75D3" w:rsidRPr="001A1D4E" w:rsidRDefault="00FD75D3" w:rsidP="003F66F0">
      <w:pPr>
        <w:pStyle w:val="ListRef"/>
        <w:numPr>
          <w:ilvl w:val="0"/>
          <w:numId w:val="75"/>
        </w:numPr>
        <w:rPr>
          <w:lang w:val="fr-CA"/>
        </w:rPr>
      </w:pPr>
      <w:proofErr w:type="gramStart"/>
      <w:r w:rsidRPr="001A1D4E">
        <w:rPr>
          <w:lang w:val="fr-CA"/>
        </w:rPr>
        <w:t>éviter</w:t>
      </w:r>
      <w:proofErr w:type="gramEnd"/>
      <w:r w:rsidRPr="001A1D4E">
        <w:rPr>
          <w:lang w:val="fr-CA"/>
        </w:rPr>
        <w:t xml:space="preserve"> d</w:t>
      </w:r>
      <w:r w:rsidR="00746F85">
        <w:rPr>
          <w:lang w:val="fr-CA"/>
        </w:rPr>
        <w:t>’</w:t>
      </w:r>
      <w:r w:rsidRPr="001A1D4E">
        <w:rPr>
          <w:lang w:val="fr-CA"/>
        </w:rPr>
        <w:t xml:space="preserve">être placés en </w:t>
      </w:r>
      <w:r w:rsidR="006B482A">
        <w:rPr>
          <w:lang w:val="fr-CA"/>
        </w:rPr>
        <w:t xml:space="preserve">forme de </w:t>
      </w:r>
      <w:r w:rsidRPr="001A1D4E">
        <w:rPr>
          <w:lang w:val="fr-CA"/>
        </w:rPr>
        <w:t xml:space="preserve">triangle ou en </w:t>
      </w:r>
      <w:r w:rsidR="00272293">
        <w:rPr>
          <w:lang w:val="fr-CA"/>
        </w:rPr>
        <w:t xml:space="preserve">forme de </w:t>
      </w:r>
      <w:r w:rsidRPr="001A1D4E">
        <w:rPr>
          <w:lang w:val="fr-CA"/>
        </w:rPr>
        <w:t>U, car ils c</w:t>
      </w:r>
      <w:r w:rsidR="005F1133">
        <w:rPr>
          <w:lang w:val="fr-CA"/>
        </w:rPr>
        <w:t>onstituent</w:t>
      </w:r>
      <w:r w:rsidRPr="001A1D4E">
        <w:rPr>
          <w:lang w:val="fr-CA"/>
        </w:rPr>
        <w:t xml:space="preserve"> une barrière pour les </w:t>
      </w:r>
      <w:r w:rsidR="005F1133">
        <w:rPr>
          <w:lang w:val="fr-CA"/>
        </w:rPr>
        <w:t>appareils</w:t>
      </w:r>
      <w:r w:rsidRPr="001A1D4E">
        <w:rPr>
          <w:lang w:val="fr-CA"/>
        </w:rPr>
        <w:t xml:space="preserve"> de mobilité à roues; et</w:t>
      </w:r>
    </w:p>
    <w:p w14:paraId="6EC43332" w14:textId="747ED9D2" w:rsidR="00FD75D3" w:rsidRPr="001A1D4E" w:rsidRDefault="00F43E0E" w:rsidP="003F66F0">
      <w:pPr>
        <w:pStyle w:val="ListRef"/>
        <w:numPr>
          <w:ilvl w:val="0"/>
          <w:numId w:val="75"/>
        </w:numPr>
        <w:rPr>
          <w:lang w:val="fr-CA"/>
        </w:rPr>
      </w:pPr>
      <w:proofErr w:type="gramStart"/>
      <w:r>
        <w:rPr>
          <w:lang w:val="fr-CA"/>
        </w:rPr>
        <w:t>être</w:t>
      </w:r>
      <w:proofErr w:type="gramEnd"/>
      <w:r>
        <w:rPr>
          <w:lang w:val="fr-CA"/>
        </w:rPr>
        <w:t xml:space="preserve"> équipés</w:t>
      </w:r>
      <w:r w:rsidR="00FD75D3" w:rsidRPr="001A1D4E">
        <w:rPr>
          <w:lang w:val="fr-CA"/>
        </w:rPr>
        <w:t xml:space="preserve"> d</w:t>
      </w:r>
      <w:r w:rsidR="00746F85">
        <w:rPr>
          <w:lang w:val="fr-CA"/>
        </w:rPr>
        <w:t>’</w:t>
      </w:r>
      <w:r w:rsidR="00FD75D3" w:rsidRPr="001A1D4E">
        <w:rPr>
          <w:lang w:val="fr-CA"/>
        </w:rPr>
        <w:t>une forme de détection au niveau du sol, d</w:t>
      </w:r>
      <w:r w:rsidR="00746F85">
        <w:rPr>
          <w:lang w:val="fr-CA"/>
        </w:rPr>
        <w:t>’</w:t>
      </w:r>
      <w:r w:rsidR="00FD75D3" w:rsidRPr="001A1D4E">
        <w:rPr>
          <w:lang w:val="fr-CA"/>
        </w:rPr>
        <w:t>un socle ou d</w:t>
      </w:r>
      <w:r w:rsidR="00746F85">
        <w:rPr>
          <w:lang w:val="fr-CA"/>
        </w:rPr>
        <w:t>’</w:t>
      </w:r>
      <w:r w:rsidR="00FD75D3" w:rsidRPr="001A1D4E">
        <w:rPr>
          <w:lang w:val="fr-CA"/>
        </w:rPr>
        <w:t>un rail de tapotement lorsqu</w:t>
      </w:r>
      <w:r w:rsidR="00746F85">
        <w:rPr>
          <w:lang w:val="fr-CA"/>
        </w:rPr>
        <w:t>’</w:t>
      </w:r>
      <w:r w:rsidR="00FD75D3" w:rsidRPr="001A1D4E">
        <w:rPr>
          <w:lang w:val="fr-CA"/>
        </w:rPr>
        <w:t>ils sont plus larges en haut qu</w:t>
      </w:r>
      <w:r w:rsidR="00746F85">
        <w:rPr>
          <w:lang w:val="fr-CA"/>
        </w:rPr>
        <w:t>’</w:t>
      </w:r>
      <w:r w:rsidR="00FD75D3" w:rsidRPr="001A1D4E">
        <w:rPr>
          <w:lang w:val="fr-CA"/>
        </w:rPr>
        <w:t>au niveau du sol pour permettre la détection.</w:t>
      </w:r>
    </w:p>
    <w:p w14:paraId="77ECED03" w14:textId="45ACF29A" w:rsidR="00FD75D3" w:rsidRPr="001A1D4E" w:rsidRDefault="001072E9" w:rsidP="00FD75D3">
      <w:pPr>
        <w:rPr>
          <w:lang w:val="fr-CA"/>
        </w:rPr>
      </w:pPr>
      <w:r>
        <w:rPr>
          <w:rStyle w:val="EmphasisUseSparingly"/>
          <w:lang w:val="fr-CA"/>
        </w:rPr>
        <w:t>Remarque</w:t>
      </w:r>
      <w:r w:rsidR="00FD75D3" w:rsidRPr="001A1D4E">
        <w:rPr>
          <w:rStyle w:val="EmphasisUseSparingly"/>
          <w:lang w:val="fr-CA"/>
        </w:rPr>
        <w:t xml:space="preserve"> 1</w:t>
      </w:r>
      <w:r w:rsidR="00F1547A">
        <w:rPr>
          <w:rStyle w:val="EmphasisUseSparingly"/>
          <w:lang w:val="fr-CA"/>
        </w:rPr>
        <w:t> </w:t>
      </w:r>
      <w:r w:rsidR="00FD75D3" w:rsidRPr="001A1D4E">
        <w:rPr>
          <w:rStyle w:val="EmphasisUseSparingly"/>
          <w:lang w:val="fr-CA"/>
        </w:rPr>
        <w:t xml:space="preserve">: </w:t>
      </w:r>
      <w:r w:rsidR="00FD75D3" w:rsidRPr="001A1D4E">
        <w:rPr>
          <w:lang w:val="fr-CA"/>
        </w:rPr>
        <w:t>Les bo</w:t>
      </w:r>
      <w:r w:rsidR="00C25537">
        <w:rPr>
          <w:lang w:val="fr-CA"/>
        </w:rPr>
        <w:t>llards</w:t>
      </w:r>
      <w:r w:rsidR="00FD75D3" w:rsidRPr="001A1D4E">
        <w:rPr>
          <w:lang w:val="fr-CA"/>
        </w:rPr>
        <w:t xml:space="preserve"> doivent avoir un profil uniforme sur toute leur hauteur à partir du sol.</w:t>
      </w:r>
    </w:p>
    <w:p w14:paraId="574D8300" w14:textId="3F94B7C7" w:rsidR="00FD75D3" w:rsidRPr="001A1D4E" w:rsidRDefault="00EA3CD4" w:rsidP="00FD75D3">
      <w:pPr>
        <w:rPr>
          <w:lang w:val="fr-CA"/>
        </w:rPr>
      </w:pPr>
      <w:r>
        <w:rPr>
          <w:rStyle w:val="EmphasisUseSparingly"/>
          <w:lang w:val="fr-CA"/>
        </w:rPr>
        <w:t>Remarque</w:t>
      </w:r>
      <w:r w:rsidR="00FD75D3" w:rsidRPr="001A1D4E">
        <w:rPr>
          <w:rStyle w:val="EmphasisUseSparingly"/>
          <w:lang w:val="fr-CA"/>
        </w:rPr>
        <w:t xml:space="preserve"> 2</w:t>
      </w:r>
      <w:r w:rsidR="00F1547A">
        <w:rPr>
          <w:rStyle w:val="EmphasisUseSparingly"/>
          <w:lang w:val="fr-CA"/>
        </w:rPr>
        <w:t> </w:t>
      </w:r>
      <w:r w:rsidR="00FD75D3" w:rsidRPr="001A1D4E">
        <w:rPr>
          <w:rStyle w:val="EmphasisUseSparingly"/>
          <w:lang w:val="fr-CA"/>
        </w:rPr>
        <w:t>:</w:t>
      </w:r>
      <w:r w:rsidR="00FD75D3" w:rsidRPr="001A1D4E">
        <w:rPr>
          <w:lang w:val="fr-CA"/>
        </w:rPr>
        <w:t xml:space="preserve"> </w:t>
      </w:r>
      <w:r w:rsidR="00AF1A2C">
        <w:rPr>
          <w:lang w:val="fr-CA"/>
        </w:rPr>
        <w:t>Dans la mesure du</w:t>
      </w:r>
      <w:r w:rsidR="00FD75D3" w:rsidRPr="001A1D4E">
        <w:rPr>
          <w:lang w:val="fr-CA"/>
        </w:rPr>
        <w:t xml:space="preserve"> possible, les bo</w:t>
      </w:r>
      <w:r w:rsidR="00C25537">
        <w:rPr>
          <w:lang w:val="fr-CA"/>
        </w:rPr>
        <w:t>llards</w:t>
      </w:r>
      <w:r w:rsidR="00FD75D3" w:rsidRPr="001A1D4E">
        <w:rPr>
          <w:lang w:val="fr-CA"/>
        </w:rPr>
        <w:t xml:space="preserve"> ne doivent pas être attachés par des cordes ou des chaînes, car cela représente un danger pour les piétons.</w:t>
      </w:r>
    </w:p>
    <w:p w14:paraId="53A77B07" w14:textId="0BC8B9C1" w:rsidR="00FD75D3" w:rsidRPr="001A1D4E" w:rsidRDefault="00AF1A2C" w:rsidP="00FD75D3">
      <w:pPr>
        <w:rPr>
          <w:lang w:val="fr-CA"/>
        </w:rPr>
      </w:pPr>
      <w:r>
        <w:rPr>
          <w:rStyle w:val="EmphasisUseSparingly"/>
          <w:lang w:val="fr-CA"/>
        </w:rPr>
        <w:t>Remarque</w:t>
      </w:r>
      <w:r w:rsidR="00FD75D3" w:rsidRPr="001A1D4E">
        <w:rPr>
          <w:rStyle w:val="EmphasisUseSparingly"/>
          <w:lang w:val="fr-CA"/>
        </w:rPr>
        <w:t xml:space="preserve"> 3</w:t>
      </w:r>
      <w:r w:rsidR="00F1547A">
        <w:rPr>
          <w:rStyle w:val="EmphasisUseSparingly"/>
          <w:lang w:val="fr-CA"/>
        </w:rPr>
        <w:t> </w:t>
      </w:r>
      <w:r w:rsidR="00FD75D3" w:rsidRPr="001A1D4E">
        <w:rPr>
          <w:rStyle w:val="EmphasisUseSparingly"/>
          <w:lang w:val="fr-CA"/>
        </w:rPr>
        <w:t xml:space="preserve">: </w:t>
      </w:r>
      <w:r w:rsidR="00FD75D3" w:rsidRPr="001A1D4E">
        <w:rPr>
          <w:lang w:val="fr-CA"/>
        </w:rPr>
        <w:t>Des bo</w:t>
      </w:r>
      <w:r w:rsidR="00C25537">
        <w:rPr>
          <w:lang w:val="fr-CA"/>
        </w:rPr>
        <w:t>llards</w:t>
      </w:r>
      <w:r w:rsidR="00FD75D3" w:rsidRPr="001A1D4E">
        <w:rPr>
          <w:lang w:val="fr-CA"/>
        </w:rPr>
        <w:t xml:space="preserve"> flexibles capables de résister aux impacts de véhicules à basse vitesse et de revenir à leur position d</w:t>
      </w:r>
      <w:r w:rsidR="00746F85">
        <w:rPr>
          <w:lang w:val="fr-CA"/>
        </w:rPr>
        <w:t>’</w:t>
      </w:r>
      <w:r w:rsidR="00FD75D3" w:rsidRPr="001A1D4E">
        <w:rPr>
          <w:lang w:val="fr-CA"/>
        </w:rPr>
        <w:t xml:space="preserve">origine peuvent être envisagés près des </w:t>
      </w:r>
      <w:r w:rsidR="0019198A">
        <w:rPr>
          <w:lang w:val="fr-CA"/>
        </w:rPr>
        <w:t>traverses de</w:t>
      </w:r>
      <w:r w:rsidR="00FD75D3" w:rsidRPr="001A1D4E">
        <w:rPr>
          <w:lang w:val="fr-CA"/>
        </w:rPr>
        <w:t xml:space="preserve"> piéton</w:t>
      </w:r>
      <w:r w:rsidR="0019198A">
        <w:rPr>
          <w:lang w:val="fr-CA"/>
        </w:rPr>
        <w:t>s</w:t>
      </w:r>
      <w:r w:rsidR="00FD75D3" w:rsidRPr="001A1D4E">
        <w:rPr>
          <w:lang w:val="fr-CA"/>
        </w:rPr>
        <w:t xml:space="preserve"> afin d</w:t>
      </w:r>
      <w:r w:rsidR="00746F85">
        <w:rPr>
          <w:lang w:val="fr-CA"/>
        </w:rPr>
        <w:t>’</w:t>
      </w:r>
      <w:r w:rsidR="00FD75D3" w:rsidRPr="001A1D4E">
        <w:rPr>
          <w:lang w:val="fr-CA"/>
        </w:rPr>
        <w:t>améliorer la visibilité et de protéger les zones piétonnes, là où les bo</w:t>
      </w:r>
      <w:r w:rsidR="00C25537">
        <w:rPr>
          <w:lang w:val="fr-CA"/>
        </w:rPr>
        <w:t>llards</w:t>
      </w:r>
      <w:r w:rsidR="00FD75D3" w:rsidRPr="001A1D4E">
        <w:rPr>
          <w:lang w:val="fr-CA"/>
        </w:rPr>
        <w:t xml:space="preserve"> fixes ne sont pas réalisables.</w:t>
      </w:r>
    </w:p>
    <w:p w14:paraId="144E4BA9" w14:textId="57795563" w:rsidR="00F57774" w:rsidRPr="001A1D4E" w:rsidRDefault="00F57774" w:rsidP="009D286B">
      <w:pPr>
        <w:pStyle w:val="Heading2"/>
        <w:ind w:left="1134" w:hanging="1134"/>
        <w:rPr>
          <w:lang w:val="fr-CA"/>
        </w:rPr>
      </w:pPr>
      <w:bookmarkStart w:id="589" w:name="_Toc205790266"/>
      <w:bookmarkStart w:id="590" w:name="_Toc219706204"/>
      <w:r w:rsidRPr="001A1D4E">
        <w:rPr>
          <w:lang w:val="fr-CA"/>
        </w:rPr>
        <w:t xml:space="preserve">Surfaces de marche des </w:t>
      </w:r>
      <w:r w:rsidR="00AC54ED">
        <w:rPr>
          <w:lang w:val="fr-CA"/>
        </w:rPr>
        <w:t>voies</w:t>
      </w:r>
      <w:r w:rsidRPr="001A1D4E">
        <w:rPr>
          <w:lang w:val="fr-CA"/>
        </w:rPr>
        <w:t xml:space="preserve"> d</w:t>
      </w:r>
      <w:r w:rsidR="00AC54ED">
        <w:rPr>
          <w:lang w:val="fr-CA"/>
        </w:rPr>
        <w:t>e circulation</w:t>
      </w:r>
      <w:r w:rsidRPr="001A1D4E">
        <w:rPr>
          <w:lang w:val="fr-CA"/>
        </w:rPr>
        <w:t xml:space="preserve"> intérieur</w:t>
      </w:r>
      <w:r w:rsidR="005B3C26">
        <w:rPr>
          <w:lang w:val="fr-CA"/>
        </w:rPr>
        <w:t>e</w:t>
      </w:r>
      <w:r w:rsidRPr="001A1D4E">
        <w:rPr>
          <w:lang w:val="fr-CA"/>
        </w:rPr>
        <w:t>s et extérieurs</w:t>
      </w:r>
      <w:bookmarkEnd w:id="589"/>
      <w:bookmarkEnd w:id="590"/>
    </w:p>
    <w:p w14:paraId="2734909B" w14:textId="596A139E" w:rsidR="001379ED" w:rsidRPr="001A1D4E" w:rsidRDefault="001379ED" w:rsidP="001379ED">
      <w:pPr>
        <w:rPr>
          <w:lang w:val="fr-CA"/>
        </w:rPr>
      </w:pPr>
      <w:r w:rsidRPr="001A1D4E">
        <w:rPr>
          <w:lang w:val="fr-CA"/>
        </w:rPr>
        <w:t xml:space="preserve">Les voies de </w:t>
      </w:r>
      <w:r w:rsidR="00AF2E32">
        <w:rPr>
          <w:lang w:val="fr-CA"/>
        </w:rPr>
        <w:t>circulation</w:t>
      </w:r>
      <w:r w:rsidRPr="001A1D4E">
        <w:rPr>
          <w:lang w:val="fr-CA"/>
        </w:rPr>
        <w:t xml:space="preserve"> intérieures sont utilisées pour naviguer dans les environnements intérieurs des bâtiments et des grands complexes. Les voies de </w:t>
      </w:r>
      <w:r w:rsidR="00D61373">
        <w:rPr>
          <w:lang w:val="fr-CA"/>
        </w:rPr>
        <w:t>circulation</w:t>
      </w:r>
      <w:r w:rsidRPr="001A1D4E">
        <w:rPr>
          <w:lang w:val="fr-CA"/>
        </w:rPr>
        <w:t xml:space="preserve"> extérieures </w:t>
      </w:r>
      <w:r w:rsidR="00481B29">
        <w:rPr>
          <w:lang w:val="fr-CA"/>
        </w:rPr>
        <w:t xml:space="preserve">sont </w:t>
      </w:r>
      <w:r w:rsidR="000E7AC8">
        <w:rPr>
          <w:lang w:val="fr-CA"/>
        </w:rPr>
        <w:t>utilisées</w:t>
      </w:r>
      <w:r w:rsidR="00481B29">
        <w:rPr>
          <w:lang w:val="fr-CA"/>
        </w:rPr>
        <w:t xml:space="preserve"> pour se déplacer </w:t>
      </w:r>
      <w:r w:rsidRPr="001A1D4E">
        <w:rPr>
          <w:lang w:val="fr-CA"/>
        </w:rPr>
        <w:t>à l</w:t>
      </w:r>
      <w:r w:rsidR="00746F85">
        <w:rPr>
          <w:lang w:val="fr-CA"/>
        </w:rPr>
        <w:t>’</w:t>
      </w:r>
      <w:r w:rsidRPr="001A1D4E">
        <w:rPr>
          <w:lang w:val="fr-CA"/>
        </w:rPr>
        <w:t>extérieur d</w:t>
      </w:r>
      <w:r w:rsidR="00746F85">
        <w:rPr>
          <w:lang w:val="fr-CA"/>
        </w:rPr>
        <w:t>’</w:t>
      </w:r>
      <w:r w:rsidRPr="001A1D4E">
        <w:rPr>
          <w:lang w:val="fr-CA"/>
        </w:rPr>
        <w:t>un bâtiment.</w:t>
      </w:r>
    </w:p>
    <w:p w14:paraId="2A674D1A" w14:textId="77777777" w:rsidR="00D51B68" w:rsidRDefault="00D51B68">
      <w:pPr>
        <w:keepLines w:val="0"/>
        <w:spacing w:before="0" w:beforeAutospacing="0" w:line="259" w:lineRule="auto"/>
        <w:rPr>
          <w:lang w:val="fr-CA"/>
        </w:rPr>
      </w:pPr>
      <w:r>
        <w:rPr>
          <w:lang w:val="fr-CA"/>
        </w:rPr>
        <w:br w:type="page"/>
      </w:r>
    </w:p>
    <w:p w14:paraId="269C492D" w14:textId="26A1DB50" w:rsidR="001379ED" w:rsidRPr="001A1D4E" w:rsidRDefault="001379ED" w:rsidP="001379ED">
      <w:pPr>
        <w:rPr>
          <w:lang w:val="fr-CA"/>
        </w:rPr>
      </w:pPr>
      <w:r w:rsidRPr="001A1D4E">
        <w:rPr>
          <w:lang w:val="fr-CA"/>
        </w:rPr>
        <w:lastRenderedPageBreak/>
        <w:t>Les surfaces de marche des</w:t>
      </w:r>
      <w:r w:rsidR="003124DE">
        <w:rPr>
          <w:lang w:val="fr-CA"/>
        </w:rPr>
        <w:t xml:space="preserve"> voies de circulation</w:t>
      </w:r>
      <w:r w:rsidRPr="001A1D4E">
        <w:rPr>
          <w:lang w:val="fr-CA"/>
        </w:rPr>
        <w:t xml:space="preserve"> intérieur</w:t>
      </w:r>
      <w:r w:rsidR="005B3C26">
        <w:rPr>
          <w:lang w:val="fr-CA"/>
        </w:rPr>
        <w:t>e</w:t>
      </w:r>
      <w:r w:rsidRPr="001A1D4E">
        <w:rPr>
          <w:lang w:val="fr-CA"/>
        </w:rPr>
        <w:t>s et extérieurs dans l</w:t>
      </w:r>
      <w:r w:rsidR="00746F85">
        <w:rPr>
          <w:lang w:val="fr-CA"/>
        </w:rPr>
        <w:t>’</w:t>
      </w:r>
      <w:r w:rsidRPr="001A1D4E">
        <w:rPr>
          <w:lang w:val="fr-CA"/>
        </w:rPr>
        <w:t>environnement bâti doivent</w:t>
      </w:r>
      <w:r w:rsidR="00F1547A">
        <w:rPr>
          <w:lang w:val="fr-CA"/>
        </w:rPr>
        <w:t> </w:t>
      </w:r>
      <w:r w:rsidRPr="001A1D4E">
        <w:rPr>
          <w:lang w:val="fr-CA"/>
        </w:rPr>
        <w:t>:</w:t>
      </w:r>
    </w:p>
    <w:p w14:paraId="54B00608" w14:textId="00355FF7" w:rsidR="001379ED" w:rsidRPr="001A1D4E" w:rsidRDefault="001379ED" w:rsidP="003F66F0">
      <w:pPr>
        <w:pStyle w:val="ListRef"/>
        <w:numPr>
          <w:ilvl w:val="0"/>
          <w:numId w:val="26"/>
        </w:numPr>
        <w:rPr>
          <w:lang w:val="fr-CA"/>
        </w:rPr>
      </w:pPr>
      <w:proofErr w:type="gramStart"/>
      <w:r w:rsidRPr="001A1D4E">
        <w:rPr>
          <w:lang w:val="fr-CA"/>
        </w:rPr>
        <w:t>être</w:t>
      </w:r>
      <w:proofErr w:type="gramEnd"/>
      <w:r w:rsidRPr="001A1D4E">
        <w:rPr>
          <w:lang w:val="fr-CA"/>
        </w:rPr>
        <w:t xml:space="preserve"> </w:t>
      </w:r>
      <w:r w:rsidR="00553EA8">
        <w:rPr>
          <w:lang w:val="fr-CA"/>
        </w:rPr>
        <w:t>solid</w:t>
      </w:r>
      <w:r w:rsidR="00A14714">
        <w:rPr>
          <w:lang w:val="fr-CA"/>
        </w:rPr>
        <w:t>es</w:t>
      </w:r>
      <w:r w:rsidRPr="001A1D4E">
        <w:rPr>
          <w:lang w:val="fr-CA"/>
        </w:rPr>
        <w:t>, stable, antidérapant et exempt</w:t>
      </w:r>
      <w:r w:rsidR="000C7F17">
        <w:rPr>
          <w:lang w:val="fr-CA"/>
        </w:rPr>
        <w:t xml:space="preserve">e </w:t>
      </w:r>
      <w:r w:rsidR="00A14714">
        <w:rPr>
          <w:lang w:val="fr-CA"/>
        </w:rPr>
        <w:t>d’</w:t>
      </w:r>
      <w:r w:rsidRPr="001A1D4E">
        <w:rPr>
          <w:lang w:val="fr-CA"/>
        </w:rPr>
        <w:t>éblouissement;</w:t>
      </w:r>
    </w:p>
    <w:p w14:paraId="7FE45411" w14:textId="3B1C0AAC" w:rsidR="001379ED" w:rsidRPr="001A1D4E" w:rsidRDefault="001379ED" w:rsidP="003F66F0">
      <w:pPr>
        <w:pStyle w:val="ListRef"/>
        <w:numPr>
          <w:ilvl w:val="0"/>
          <w:numId w:val="26"/>
        </w:numPr>
        <w:rPr>
          <w:lang w:val="fr-CA"/>
        </w:rPr>
      </w:pPr>
      <w:proofErr w:type="gramStart"/>
      <w:r w:rsidRPr="001A1D4E">
        <w:rPr>
          <w:lang w:val="fr-CA"/>
        </w:rPr>
        <w:t>éviter</w:t>
      </w:r>
      <w:proofErr w:type="gramEnd"/>
      <w:r w:rsidRPr="001A1D4E">
        <w:rPr>
          <w:lang w:val="fr-CA"/>
        </w:rPr>
        <w:t xml:space="preserve"> l</w:t>
      </w:r>
      <w:r w:rsidR="00746F85">
        <w:rPr>
          <w:lang w:val="fr-CA"/>
        </w:rPr>
        <w:t>’</w:t>
      </w:r>
      <w:r w:rsidRPr="001A1D4E">
        <w:rPr>
          <w:lang w:val="fr-CA"/>
        </w:rPr>
        <w:t xml:space="preserve">utilisation de motifs </w:t>
      </w:r>
      <w:r w:rsidR="006400D2">
        <w:rPr>
          <w:lang w:val="fr-CA"/>
        </w:rPr>
        <w:t>charg</w:t>
      </w:r>
      <w:r w:rsidR="006400D2">
        <w:rPr>
          <w:rFonts w:cs="Arial"/>
          <w:lang w:val="fr-CA"/>
        </w:rPr>
        <w:t>é</w:t>
      </w:r>
      <w:r w:rsidR="006400D2">
        <w:rPr>
          <w:lang w:val="fr-CA"/>
        </w:rPr>
        <w:t>s</w:t>
      </w:r>
      <w:r w:rsidRPr="001A1D4E">
        <w:rPr>
          <w:lang w:val="fr-CA"/>
        </w:rPr>
        <w:t xml:space="preserve"> qui peuvent entraîner </w:t>
      </w:r>
      <w:r w:rsidR="00A84B19">
        <w:rPr>
          <w:lang w:val="fr-CA"/>
        </w:rPr>
        <w:t xml:space="preserve">une </w:t>
      </w:r>
      <w:r w:rsidRPr="001A1D4E">
        <w:rPr>
          <w:lang w:val="fr-CA"/>
        </w:rPr>
        <w:t xml:space="preserve">confusion visuelle et </w:t>
      </w:r>
      <w:r w:rsidR="004C2340">
        <w:rPr>
          <w:lang w:val="fr-CA"/>
        </w:rPr>
        <w:t xml:space="preserve">une </w:t>
      </w:r>
      <w:r w:rsidRPr="001A1D4E">
        <w:rPr>
          <w:lang w:val="fr-CA"/>
        </w:rPr>
        <w:t>désorientation;</w:t>
      </w:r>
    </w:p>
    <w:p w14:paraId="757A1758" w14:textId="77777777" w:rsidR="001379ED" w:rsidRPr="001A1D4E" w:rsidRDefault="001379ED" w:rsidP="003F66F0">
      <w:pPr>
        <w:pStyle w:val="ListRef"/>
        <w:numPr>
          <w:ilvl w:val="0"/>
          <w:numId w:val="26"/>
        </w:numPr>
        <w:rPr>
          <w:lang w:val="fr-CA"/>
        </w:rPr>
      </w:pPr>
      <w:proofErr w:type="gramStart"/>
      <w:r w:rsidRPr="001A1D4E">
        <w:rPr>
          <w:lang w:val="fr-CA"/>
        </w:rPr>
        <w:t>utiliser</w:t>
      </w:r>
      <w:proofErr w:type="gramEnd"/>
      <w:r w:rsidRPr="001A1D4E">
        <w:rPr>
          <w:lang w:val="fr-CA"/>
        </w:rPr>
        <w:t xml:space="preserve"> une texture de surface de plancher uniforme pour identifier le même type de danger; et</w:t>
      </w:r>
    </w:p>
    <w:p w14:paraId="67DE7EE1" w14:textId="1605D1F9" w:rsidR="001379ED" w:rsidRPr="001A1D4E" w:rsidRDefault="003A6053" w:rsidP="003F66F0">
      <w:pPr>
        <w:pStyle w:val="ListRef"/>
        <w:numPr>
          <w:ilvl w:val="0"/>
          <w:numId w:val="26"/>
        </w:numPr>
        <w:rPr>
          <w:lang w:val="fr-CA"/>
        </w:rPr>
      </w:pPr>
      <w:proofErr w:type="gramStart"/>
      <w:r>
        <w:rPr>
          <w:lang w:val="fr-CA"/>
        </w:rPr>
        <w:t>s</w:t>
      </w:r>
      <w:r w:rsidR="001379ED" w:rsidRPr="001A1D4E">
        <w:rPr>
          <w:lang w:val="fr-CA"/>
        </w:rPr>
        <w:t>outenir</w:t>
      </w:r>
      <w:proofErr w:type="gramEnd"/>
      <w:r w:rsidR="001379ED" w:rsidRPr="001A1D4E">
        <w:rPr>
          <w:lang w:val="fr-CA"/>
        </w:rPr>
        <w:t xml:space="preserve"> l</w:t>
      </w:r>
      <w:r w:rsidR="00746F85">
        <w:rPr>
          <w:lang w:val="fr-CA"/>
        </w:rPr>
        <w:t>’</w:t>
      </w:r>
      <w:r w:rsidR="001379ED" w:rsidRPr="001A1D4E">
        <w:rPr>
          <w:lang w:val="fr-CA"/>
        </w:rPr>
        <w:t xml:space="preserve">orientation aux points de navigation critiques </w:t>
      </w:r>
      <w:r w:rsidR="00847081">
        <w:rPr>
          <w:lang w:val="fr-CA"/>
        </w:rPr>
        <w:t>grâce à un</w:t>
      </w:r>
      <w:r w:rsidR="00915EFB">
        <w:rPr>
          <w:lang w:val="fr-CA"/>
        </w:rPr>
        <w:t xml:space="preserve"> </w:t>
      </w:r>
      <w:r w:rsidR="001379ED" w:rsidRPr="001A1D4E">
        <w:rPr>
          <w:lang w:val="fr-CA"/>
        </w:rPr>
        <w:t>éclairage supplémentaire, un contraste visuel accru et des éléments tactiles, tels que des changements de matériaux (changements de texture) ou des</w:t>
      </w:r>
      <w:r w:rsidR="00E611A9">
        <w:rPr>
          <w:lang w:val="fr-CA"/>
        </w:rPr>
        <w:t xml:space="preserve"> ITSM.</w:t>
      </w:r>
    </w:p>
    <w:p w14:paraId="5DB67DF0" w14:textId="4725EE0D" w:rsidR="001379ED" w:rsidRPr="00877353" w:rsidRDefault="001509E0" w:rsidP="001379ED">
      <w:pPr>
        <w:rPr>
          <w:lang w:val="fr-CA"/>
        </w:rPr>
      </w:pPr>
      <w:r>
        <w:rPr>
          <w:rStyle w:val="EmphasisUseSparingly"/>
          <w:lang w:val="fr-CA"/>
        </w:rPr>
        <w:t>Remarque</w:t>
      </w:r>
      <w:r w:rsidR="001379ED" w:rsidRPr="00877353">
        <w:rPr>
          <w:rStyle w:val="EmphasisUseSparingly"/>
          <w:lang w:val="fr-CA"/>
        </w:rPr>
        <w:t xml:space="preserve"> 1</w:t>
      </w:r>
      <w:r w:rsidR="00F1547A">
        <w:rPr>
          <w:rStyle w:val="EmphasisUseSparingly"/>
          <w:lang w:val="fr-CA"/>
        </w:rPr>
        <w:t> </w:t>
      </w:r>
      <w:r w:rsidR="001379ED" w:rsidRPr="00877353">
        <w:rPr>
          <w:rStyle w:val="EmphasisUseSparingly"/>
          <w:lang w:val="fr-CA"/>
        </w:rPr>
        <w:t xml:space="preserve">: </w:t>
      </w:r>
      <w:r w:rsidR="001379ED" w:rsidRPr="00877353">
        <w:rPr>
          <w:lang w:val="fr-CA"/>
        </w:rPr>
        <w:t xml:space="preserve">Des changements de texture peuvent être utilisés pour indiquer des éléments non dangereux, </w:t>
      </w:r>
      <w:r w:rsidR="00757032">
        <w:rPr>
          <w:lang w:val="fr-CA"/>
        </w:rPr>
        <w:t>tels que</w:t>
      </w:r>
      <w:r w:rsidR="001379ED" w:rsidRPr="00877353">
        <w:rPr>
          <w:lang w:val="fr-CA"/>
        </w:rPr>
        <w:t xml:space="preserve"> des zones </w:t>
      </w:r>
      <w:r w:rsidR="00817653">
        <w:rPr>
          <w:lang w:val="fr-CA"/>
        </w:rPr>
        <w:t>o</w:t>
      </w:r>
      <w:r w:rsidR="00C80162">
        <w:rPr>
          <w:lang w:val="fr-CA"/>
        </w:rPr>
        <w:t>ù</w:t>
      </w:r>
      <w:r w:rsidR="00817653">
        <w:rPr>
          <w:lang w:val="fr-CA"/>
        </w:rPr>
        <w:t xml:space="preserve"> l’on peut s’asseoir</w:t>
      </w:r>
      <w:r w:rsidR="00EB4C66">
        <w:rPr>
          <w:lang w:val="fr-CA"/>
        </w:rPr>
        <w:t xml:space="preserve"> </w:t>
      </w:r>
      <w:r w:rsidR="00836000">
        <w:rPr>
          <w:lang w:val="fr-CA"/>
        </w:rPr>
        <w:t>pour lesq</w:t>
      </w:r>
      <w:r w:rsidR="00386ADE">
        <w:rPr>
          <w:lang w:val="fr-CA"/>
        </w:rPr>
        <w:t>uel</w:t>
      </w:r>
      <w:r w:rsidR="00702AA4">
        <w:rPr>
          <w:lang w:val="fr-CA"/>
        </w:rPr>
        <w:t>le</w:t>
      </w:r>
      <w:r w:rsidR="00386ADE">
        <w:rPr>
          <w:lang w:val="fr-CA"/>
        </w:rPr>
        <w:t>s</w:t>
      </w:r>
      <w:r w:rsidR="001379ED" w:rsidRPr="00877353">
        <w:rPr>
          <w:lang w:val="fr-CA"/>
        </w:rPr>
        <w:t xml:space="preserve"> les </w:t>
      </w:r>
      <w:r w:rsidR="00750E24">
        <w:rPr>
          <w:lang w:val="fr-CA"/>
        </w:rPr>
        <w:t>ITSM</w:t>
      </w:r>
      <w:r w:rsidR="001379ED" w:rsidRPr="00877353">
        <w:rPr>
          <w:lang w:val="fr-CA"/>
        </w:rPr>
        <w:t xml:space="preserve"> ne sont pas requis. Les changements de texture peuvent compléter, mais ne devraient pas remplacer, les </w:t>
      </w:r>
      <w:r w:rsidR="00750E24">
        <w:rPr>
          <w:lang w:val="fr-CA"/>
        </w:rPr>
        <w:t>ITSM</w:t>
      </w:r>
      <w:r w:rsidR="001379ED" w:rsidRPr="00877353">
        <w:rPr>
          <w:lang w:val="fr-CA"/>
        </w:rPr>
        <w:t xml:space="preserve"> lorsque la conformité à la sécurité ou à l</w:t>
      </w:r>
      <w:r w:rsidR="00746F85">
        <w:rPr>
          <w:lang w:val="fr-CA"/>
        </w:rPr>
        <w:t>’</w:t>
      </w:r>
      <w:r w:rsidR="001379ED" w:rsidRPr="00877353">
        <w:rPr>
          <w:lang w:val="fr-CA"/>
        </w:rPr>
        <w:t>accessibilité est requise.</w:t>
      </w:r>
    </w:p>
    <w:p w14:paraId="64E83A19" w14:textId="131A0B09" w:rsidR="003D20A9" w:rsidRPr="00A6748A" w:rsidRDefault="00B442BA" w:rsidP="00A6748A">
      <w:pPr>
        <w:rPr>
          <w:lang w:val="fr-CA"/>
        </w:rPr>
      </w:pPr>
      <w:r>
        <w:rPr>
          <w:rStyle w:val="EmphasisUseSparingly"/>
          <w:lang w:val="fr-CA"/>
        </w:rPr>
        <w:t xml:space="preserve">Remarque </w:t>
      </w:r>
      <w:r w:rsidR="001379ED" w:rsidRPr="00B442BA">
        <w:rPr>
          <w:rStyle w:val="EmphasisUseSparingly"/>
          <w:lang w:val="fr-CA"/>
        </w:rPr>
        <w:t>2</w:t>
      </w:r>
      <w:r w:rsidR="00F1547A">
        <w:rPr>
          <w:rStyle w:val="EmphasisUseSparingly"/>
          <w:lang w:val="fr-CA"/>
        </w:rPr>
        <w:t> </w:t>
      </w:r>
      <w:r w:rsidR="001379ED" w:rsidRPr="00B442BA">
        <w:rPr>
          <w:rStyle w:val="EmphasisUseSparingly"/>
          <w:lang w:val="fr-CA"/>
        </w:rPr>
        <w:t xml:space="preserve">: </w:t>
      </w:r>
      <w:r w:rsidR="001379ED" w:rsidRPr="00B442BA">
        <w:rPr>
          <w:lang w:val="fr-CA"/>
        </w:rPr>
        <w:t xml:space="preserve">Dans les grands </w:t>
      </w:r>
      <w:r w:rsidR="00460E48">
        <w:rPr>
          <w:lang w:val="fr-CA"/>
        </w:rPr>
        <w:t>espaces</w:t>
      </w:r>
      <w:r w:rsidR="001379ED" w:rsidRPr="00B442BA">
        <w:rPr>
          <w:lang w:val="fr-CA"/>
        </w:rPr>
        <w:t xml:space="preserve"> extérieurs et intérieurs ouverts, </w:t>
      </w:r>
      <w:r w:rsidR="00A6748A">
        <w:rPr>
          <w:lang w:val="fr-CA"/>
        </w:rPr>
        <w:t>différentes textures de</w:t>
      </w:r>
      <w:r w:rsidR="001379ED" w:rsidRPr="00B442BA">
        <w:rPr>
          <w:lang w:val="fr-CA"/>
        </w:rPr>
        <w:t xml:space="preserve"> surfac</w:t>
      </w:r>
      <w:r w:rsidR="00A6748A">
        <w:rPr>
          <w:lang w:val="fr-CA"/>
        </w:rPr>
        <w:t>e</w:t>
      </w:r>
      <w:r w:rsidR="001379ED" w:rsidRPr="00B442BA">
        <w:rPr>
          <w:lang w:val="fr-CA"/>
        </w:rPr>
        <w:t xml:space="preserve"> devraient di</w:t>
      </w:r>
      <w:r w:rsidR="00715A3B">
        <w:rPr>
          <w:lang w:val="fr-CA"/>
        </w:rPr>
        <w:t>stinguer</w:t>
      </w:r>
      <w:r w:rsidR="001379ED" w:rsidRPr="00B442BA">
        <w:rPr>
          <w:lang w:val="fr-CA"/>
        </w:rPr>
        <w:t xml:space="preserve"> les </w:t>
      </w:r>
      <w:r w:rsidR="00460E48">
        <w:rPr>
          <w:lang w:val="fr-CA"/>
        </w:rPr>
        <w:t>voies de circulation</w:t>
      </w:r>
      <w:r w:rsidR="00715A3B">
        <w:rPr>
          <w:lang w:val="fr-CA"/>
        </w:rPr>
        <w:t xml:space="preserve"> </w:t>
      </w:r>
      <w:r w:rsidR="001379ED" w:rsidRPr="00B442BA">
        <w:rPr>
          <w:lang w:val="fr-CA"/>
        </w:rPr>
        <w:t>des zones adjacentes.</w:t>
      </w:r>
      <w:bookmarkStart w:id="591" w:name="_Toc205790267"/>
    </w:p>
    <w:p w14:paraId="1EEDE345" w14:textId="0894357E" w:rsidR="001379ED" w:rsidRPr="00B442BA" w:rsidRDefault="007B5A67" w:rsidP="00E22016">
      <w:pPr>
        <w:pStyle w:val="Heading3"/>
        <w:rPr>
          <w:lang w:val="fr-CA"/>
        </w:rPr>
      </w:pPr>
      <w:bookmarkStart w:id="592" w:name="_Toc219706205"/>
      <w:r w:rsidRPr="00B442BA">
        <w:rPr>
          <w:lang w:val="fr-CA"/>
        </w:rPr>
        <w:t xml:space="preserve">Spécifications supplémentaires pour les voies </w:t>
      </w:r>
      <w:r w:rsidR="006C56A2">
        <w:rPr>
          <w:lang w:val="fr-CA"/>
        </w:rPr>
        <w:t>de circu</w:t>
      </w:r>
      <w:r w:rsidR="00FF393A">
        <w:rPr>
          <w:lang w:val="fr-CA"/>
        </w:rPr>
        <w:t xml:space="preserve">lation </w:t>
      </w:r>
      <w:r w:rsidRPr="00B442BA">
        <w:rPr>
          <w:lang w:val="fr-CA"/>
        </w:rPr>
        <w:t>extérieures</w:t>
      </w:r>
      <w:bookmarkEnd w:id="591"/>
      <w:bookmarkEnd w:id="592"/>
    </w:p>
    <w:p w14:paraId="10635084" w14:textId="76FBC942" w:rsidR="00FD095B" w:rsidRPr="00B442BA" w:rsidRDefault="00FD095B" w:rsidP="00FD095B">
      <w:pPr>
        <w:rPr>
          <w:lang w:val="fr-CA"/>
        </w:rPr>
      </w:pPr>
      <w:r w:rsidRPr="00B442BA">
        <w:rPr>
          <w:lang w:val="fr-CA"/>
        </w:rPr>
        <w:t xml:space="preserve">Les voies de </w:t>
      </w:r>
      <w:r w:rsidR="00FF393A">
        <w:rPr>
          <w:lang w:val="fr-CA"/>
        </w:rPr>
        <w:t>circulation</w:t>
      </w:r>
      <w:r w:rsidRPr="00B442BA">
        <w:rPr>
          <w:lang w:val="fr-CA"/>
        </w:rPr>
        <w:t xml:space="preserve"> extérieures doivent</w:t>
      </w:r>
      <w:r w:rsidR="00F1547A">
        <w:rPr>
          <w:lang w:val="fr-CA"/>
        </w:rPr>
        <w:t> </w:t>
      </w:r>
      <w:r w:rsidRPr="00B442BA">
        <w:rPr>
          <w:lang w:val="fr-CA"/>
        </w:rPr>
        <w:t>:</w:t>
      </w:r>
    </w:p>
    <w:p w14:paraId="4D147F5D" w14:textId="1CF3AB3D" w:rsidR="00FD095B" w:rsidRDefault="00FF393A" w:rsidP="003F66F0">
      <w:pPr>
        <w:pStyle w:val="ListRef"/>
        <w:numPr>
          <w:ilvl w:val="0"/>
          <w:numId w:val="25"/>
        </w:numPr>
      </w:pPr>
      <w:r>
        <w:t>p</w:t>
      </w:r>
      <w:r w:rsidR="00FD095B">
        <w:t xml:space="preserve">our les surfaces </w:t>
      </w:r>
      <w:proofErr w:type="spellStart"/>
      <w:proofErr w:type="gramStart"/>
      <w:r w:rsidR="00FD095B">
        <w:t>pavées</w:t>
      </w:r>
      <w:proofErr w:type="spellEnd"/>
      <w:r w:rsidR="00F1547A">
        <w:t> </w:t>
      </w:r>
      <w:r w:rsidR="00FD095B">
        <w:t>:</w:t>
      </w:r>
      <w:proofErr w:type="gramEnd"/>
    </w:p>
    <w:p w14:paraId="26670175" w14:textId="3D55F1AA" w:rsidR="00FD095B" w:rsidRPr="00DA6FED" w:rsidRDefault="00F62F6F" w:rsidP="003F66F0">
      <w:pPr>
        <w:pStyle w:val="ListRef"/>
        <w:numPr>
          <w:ilvl w:val="1"/>
          <w:numId w:val="25"/>
        </w:numPr>
        <w:rPr>
          <w:lang w:val="fr-CA"/>
        </w:rPr>
      </w:pPr>
      <w:proofErr w:type="gramStart"/>
      <w:r>
        <w:rPr>
          <w:lang w:val="fr-CA"/>
        </w:rPr>
        <w:t>avoir</w:t>
      </w:r>
      <w:proofErr w:type="gramEnd"/>
      <w:r w:rsidR="00FD095B" w:rsidRPr="00DA6FED">
        <w:rPr>
          <w:lang w:val="fr-CA"/>
        </w:rPr>
        <w:t xml:space="preserve"> </w:t>
      </w:r>
      <w:r w:rsidR="00F27655">
        <w:rPr>
          <w:lang w:val="fr-CA"/>
        </w:rPr>
        <w:t>d</w:t>
      </w:r>
      <w:r w:rsidR="00FD095B" w:rsidRPr="00DA6FED">
        <w:rPr>
          <w:lang w:val="fr-CA"/>
        </w:rPr>
        <w:t xml:space="preserve">es zones piétonnes et cyclables </w:t>
      </w:r>
      <w:r w:rsidR="00F27655">
        <w:rPr>
          <w:lang w:val="fr-CA"/>
        </w:rPr>
        <w:t xml:space="preserve">qui </w:t>
      </w:r>
      <w:r w:rsidR="00FD095B" w:rsidRPr="00DA6FED">
        <w:rPr>
          <w:lang w:val="fr-CA"/>
        </w:rPr>
        <w:t xml:space="preserve">sont physiquement séparées et détectables par les cannes; </w:t>
      </w:r>
    </w:p>
    <w:p w14:paraId="58AFA3D8" w14:textId="5E779033" w:rsidR="00FD095B" w:rsidRPr="00DA6FED" w:rsidRDefault="00FD095B" w:rsidP="003F66F0">
      <w:pPr>
        <w:pStyle w:val="ListRef"/>
        <w:numPr>
          <w:ilvl w:val="1"/>
          <w:numId w:val="25"/>
        </w:numPr>
        <w:rPr>
          <w:lang w:val="fr-CA"/>
        </w:rPr>
      </w:pPr>
      <w:proofErr w:type="gramStart"/>
      <w:r w:rsidRPr="00DA6FED">
        <w:rPr>
          <w:lang w:val="fr-CA"/>
        </w:rPr>
        <w:lastRenderedPageBreak/>
        <w:t>avoir</w:t>
      </w:r>
      <w:proofErr w:type="gramEnd"/>
      <w:r w:rsidRPr="00DA6FED">
        <w:rPr>
          <w:lang w:val="fr-CA"/>
        </w:rPr>
        <w:t xml:space="preserve"> une délimitation visuelle et tactile continue et détectable entre les zones piétonnes et cyclables, </w:t>
      </w:r>
      <w:r w:rsidR="00381A33">
        <w:rPr>
          <w:lang w:val="fr-CA"/>
        </w:rPr>
        <w:t>tel</w:t>
      </w:r>
      <w:r w:rsidR="00794805">
        <w:rPr>
          <w:lang w:val="fr-CA"/>
        </w:rPr>
        <w:t>le</w:t>
      </w:r>
      <w:r w:rsidR="00381A33">
        <w:rPr>
          <w:lang w:val="fr-CA"/>
        </w:rPr>
        <w:t xml:space="preserve"> qu’</w:t>
      </w:r>
      <w:r w:rsidRPr="00DA6FED">
        <w:rPr>
          <w:lang w:val="fr-CA"/>
        </w:rPr>
        <w:t>une section d</w:t>
      </w:r>
      <w:r w:rsidR="00594696">
        <w:rPr>
          <w:lang w:val="fr-CA"/>
        </w:rPr>
        <w:t>e gazon</w:t>
      </w:r>
      <w:r w:rsidRPr="00DA6FED">
        <w:rPr>
          <w:lang w:val="fr-CA"/>
        </w:rPr>
        <w:t xml:space="preserve"> de 300</w:t>
      </w:r>
      <w:r w:rsidR="00FA4FCB">
        <w:rPr>
          <w:lang w:val="fr-CA"/>
        </w:rPr>
        <w:t> </w:t>
      </w:r>
      <w:r w:rsidRPr="00DA6FED">
        <w:rPr>
          <w:lang w:val="fr-CA"/>
        </w:rPr>
        <w:t>mm pour une détection facile, ou être à différents niveaux comme la rue et le trottoir;</w:t>
      </w:r>
    </w:p>
    <w:p w14:paraId="652D741A" w14:textId="3841D28C" w:rsidR="00FD095B" w:rsidRPr="000A1338" w:rsidRDefault="00FD095B" w:rsidP="003F66F0">
      <w:pPr>
        <w:pStyle w:val="ListRef"/>
        <w:numPr>
          <w:ilvl w:val="1"/>
          <w:numId w:val="25"/>
        </w:numPr>
        <w:rPr>
          <w:lang w:val="fr-CA"/>
        </w:rPr>
      </w:pPr>
      <w:proofErr w:type="gramStart"/>
      <w:r w:rsidRPr="00DA6FED">
        <w:rPr>
          <w:lang w:val="fr-CA"/>
        </w:rPr>
        <w:t>intégrer</w:t>
      </w:r>
      <w:proofErr w:type="gramEnd"/>
      <w:r w:rsidRPr="00DA6FED">
        <w:rPr>
          <w:lang w:val="fr-CA"/>
        </w:rPr>
        <w:t xml:space="preserve"> des matériaux de </w:t>
      </w:r>
      <w:r w:rsidR="00981A61">
        <w:rPr>
          <w:lang w:val="fr-CA"/>
        </w:rPr>
        <w:t xml:space="preserve">surface </w:t>
      </w:r>
      <w:r w:rsidRPr="00DA6FED">
        <w:rPr>
          <w:lang w:val="fr-CA"/>
        </w:rPr>
        <w:t xml:space="preserve">distinctifs, comme les carreaux, aux intersections ou aux points </w:t>
      </w:r>
      <w:r w:rsidR="00C82A83">
        <w:rPr>
          <w:lang w:val="fr-CA"/>
        </w:rPr>
        <w:t>clés</w:t>
      </w:r>
      <w:r w:rsidRPr="000A1338">
        <w:rPr>
          <w:lang w:val="fr-CA"/>
        </w:rPr>
        <w:t xml:space="preserve"> de décision dans les places extérieures pour aider les utilisateurs à identifier </w:t>
      </w:r>
      <w:r w:rsidR="00B1538A" w:rsidRPr="00B1538A">
        <w:rPr>
          <w:lang w:val="fr-CA"/>
        </w:rPr>
        <w:t xml:space="preserve">les zones </w:t>
      </w:r>
      <w:r w:rsidR="00B1538A">
        <w:rPr>
          <w:lang w:val="fr-CA"/>
        </w:rPr>
        <w:t>essentielles</w:t>
      </w:r>
      <w:r w:rsidR="00C82A83">
        <w:rPr>
          <w:lang w:val="fr-CA"/>
        </w:rPr>
        <w:t xml:space="preserve"> </w:t>
      </w:r>
      <w:r w:rsidRPr="000A1338">
        <w:rPr>
          <w:lang w:val="fr-CA"/>
        </w:rPr>
        <w:t>et à faire des choix éclairés pour la navigation;</w:t>
      </w:r>
    </w:p>
    <w:p w14:paraId="1BCBF319" w14:textId="3EC4D166" w:rsidR="00FD095B" w:rsidRPr="000A1338" w:rsidRDefault="00FD095B" w:rsidP="003F66F0">
      <w:pPr>
        <w:pStyle w:val="ListRef"/>
        <w:numPr>
          <w:ilvl w:val="1"/>
          <w:numId w:val="25"/>
        </w:numPr>
        <w:rPr>
          <w:lang w:val="fr-CA"/>
        </w:rPr>
      </w:pPr>
      <w:proofErr w:type="gramStart"/>
      <w:r w:rsidRPr="000A1338">
        <w:rPr>
          <w:lang w:val="fr-CA"/>
        </w:rPr>
        <w:t>être</w:t>
      </w:r>
      <w:proofErr w:type="gramEnd"/>
      <w:r w:rsidRPr="000A1338">
        <w:rPr>
          <w:lang w:val="fr-CA"/>
        </w:rPr>
        <w:t xml:space="preserve"> simple</w:t>
      </w:r>
      <w:r w:rsidR="00A70621">
        <w:rPr>
          <w:lang w:val="fr-CA"/>
        </w:rPr>
        <w:t>s</w:t>
      </w:r>
      <w:r w:rsidRPr="000A1338">
        <w:rPr>
          <w:lang w:val="fr-CA"/>
        </w:rPr>
        <w:t xml:space="preserve"> et ne pas nuire à l</w:t>
      </w:r>
      <w:r w:rsidR="00746F85">
        <w:rPr>
          <w:lang w:val="fr-CA"/>
        </w:rPr>
        <w:t>’</w:t>
      </w:r>
      <w:r w:rsidRPr="000A1338">
        <w:rPr>
          <w:lang w:val="fr-CA"/>
        </w:rPr>
        <w:t xml:space="preserve">orientation ou à la sécurité des </w:t>
      </w:r>
      <w:r w:rsidR="003E27C3">
        <w:rPr>
          <w:lang w:val="fr-CA"/>
        </w:rPr>
        <w:t>traversées</w:t>
      </w:r>
      <w:r w:rsidRPr="000A1338">
        <w:rPr>
          <w:lang w:val="fr-CA"/>
        </w:rPr>
        <w:t xml:space="preserve"> piéto</w:t>
      </w:r>
      <w:r w:rsidR="003E27C3">
        <w:rPr>
          <w:lang w:val="fr-CA"/>
        </w:rPr>
        <w:t>n</w:t>
      </w:r>
      <w:r w:rsidRPr="000A1338">
        <w:rPr>
          <w:lang w:val="fr-CA"/>
        </w:rPr>
        <w:t>n</w:t>
      </w:r>
      <w:r w:rsidR="003E27C3">
        <w:rPr>
          <w:lang w:val="fr-CA"/>
        </w:rPr>
        <w:t>es</w:t>
      </w:r>
      <w:r w:rsidRPr="000A1338">
        <w:rPr>
          <w:lang w:val="fr-CA"/>
        </w:rPr>
        <w:t xml:space="preserve"> lorsqu</w:t>
      </w:r>
      <w:r w:rsidR="00746F85">
        <w:rPr>
          <w:lang w:val="fr-CA"/>
        </w:rPr>
        <w:t>’</w:t>
      </w:r>
      <w:r w:rsidRPr="000A1338">
        <w:rPr>
          <w:lang w:val="fr-CA"/>
        </w:rPr>
        <w:t>il</w:t>
      </w:r>
      <w:r w:rsidR="003E27C3">
        <w:rPr>
          <w:lang w:val="fr-CA"/>
        </w:rPr>
        <w:t>s son</w:t>
      </w:r>
      <w:r w:rsidRPr="000A1338">
        <w:rPr>
          <w:lang w:val="fr-CA"/>
        </w:rPr>
        <w:t>t utilisé</w:t>
      </w:r>
      <w:r w:rsidR="003E27C3">
        <w:rPr>
          <w:lang w:val="fr-CA"/>
        </w:rPr>
        <w:t>s</w:t>
      </w:r>
      <w:r w:rsidRPr="000A1338">
        <w:rPr>
          <w:lang w:val="fr-CA"/>
        </w:rPr>
        <w:t xml:space="preserve"> dans des passages </w:t>
      </w:r>
      <w:r w:rsidR="00372206">
        <w:rPr>
          <w:lang w:val="fr-CA"/>
        </w:rPr>
        <w:t xml:space="preserve">pour </w:t>
      </w:r>
      <w:r w:rsidRPr="000A1338">
        <w:rPr>
          <w:lang w:val="fr-CA"/>
        </w:rPr>
        <w:t xml:space="preserve">piétons décoratifs, </w:t>
      </w:r>
      <w:r w:rsidR="003E27C3">
        <w:rPr>
          <w:lang w:val="fr-CA"/>
        </w:rPr>
        <w:t>y compris</w:t>
      </w:r>
      <w:r w:rsidRPr="000A1338">
        <w:rPr>
          <w:lang w:val="fr-CA"/>
        </w:rPr>
        <w:t xml:space="preserve"> </w:t>
      </w:r>
      <w:r w:rsidR="003E27C3">
        <w:rPr>
          <w:lang w:val="fr-CA"/>
        </w:rPr>
        <w:t>l</w:t>
      </w:r>
      <w:r w:rsidRPr="000A1338">
        <w:rPr>
          <w:lang w:val="fr-CA"/>
        </w:rPr>
        <w:t>es éléments tels que la couleur, l</w:t>
      </w:r>
      <w:r w:rsidR="003E27C3">
        <w:rPr>
          <w:lang w:val="fr-CA"/>
        </w:rPr>
        <w:t>a conception</w:t>
      </w:r>
      <w:r w:rsidRPr="000A1338">
        <w:rPr>
          <w:lang w:val="fr-CA"/>
        </w:rPr>
        <w:t>, l</w:t>
      </w:r>
      <w:r w:rsidR="00746F85">
        <w:rPr>
          <w:lang w:val="fr-CA"/>
        </w:rPr>
        <w:t>’</w:t>
      </w:r>
      <w:r w:rsidRPr="000A1338">
        <w:rPr>
          <w:lang w:val="fr-CA"/>
        </w:rPr>
        <w:t xml:space="preserve">imagerie, la texture ou le matériau qui </w:t>
      </w:r>
      <w:r w:rsidR="00BD0959">
        <w:rPr>
          <w:lang w:val="fr-CA"/>
        </w:rPr>
        <w:t>améliorent</w:t>
      </w:r>
      <w:r w:rsidRPr="000A1338">
        <w:rPr>
          <w:lang w:val="fr-CA"/>
        </w:rPr>
        <w:t xml:space="preserve"> l</w:t>
      </w:r>
      <w:r w:rsidR="00746F85">
        <w:rPr>
          <w:lang w:val="fr-CA"/>
        </w:rPr>
        <w:t>’</w:t>
      </w:r>
      <w:r w:rsidRPr="000A1338">
        <w:rPr>
          <w:lang w:val="fr-CA"/>
        </w:rPr>
        <w:t xml:space="preserve">esthétique au-delà des traitements standards pour </w:t>
      </w:r>
      <w:r w:rsidR="001B43DF">
        <w:rPr>
          <w:lang w:val="fr-CA"/>
        </w:rPr>
        <w:t xml:space="preserve">passages </w:t>
      </w:r>
      <w:r w:rsidRPr="000A1338">
        <w:rPr>
          <w:lang w:val="fr-CA"/>
        </w:rPr>
        <w:t>piétons; et</w:t>
      </w:r>
    </w:p>
    <w:p w14:paraId="7A39BDE6" w14:textId="404C62EF" w:rsidR="00FD095B" w:rsidRPr="000A1338" w:rsidRDefault="00FD095B" w:rsidP="003F66F0">
      <w:pPr>
        <w:pStyle w:val="ListRef"/>
        <w:numPr>
          <w:ilvl w:val="1"/>
          <w:numId w:val="25"/>
        </w:numPr>
        <w:rPr>
          <w:lang w:val="fr-CA"/>
        </w:rPr>
      </w:pPr>
      <w:proofErr w:type="gramStart"/>
      <w:r w:rsidRPr="000A1338">
        <w:rPr>
          <w:lang w:val="fr-CA"/>
        </w:rPr>
        <w:t>inclu</w:t>
      </w:r>
      <w:r w:rsidR="00951C50">
        <w:rPr>
          <w:lang w:val="fr-CA"/>
        </w:rPr>
        <w:t>re</w:t>
      </w:r>
      <w:proofErr w:type="gramEnd"/>
      <w:r w:rsidRPr="000A1338">
        <w:rPr>
          <w:lang w:val="fr-CA"/>
        </w:rPr>
        <w:t xml:space="preserve"> deux lignes transversales blanches bordant le passage</w:t>
      </w:r>
      <w:r w:rsidR="00F90930">
        <w:rPr>
          <w:lang w:val="fr-CA"/>
        </w:rPr>
        <w:t xml:space="preserve"> pour </w:t>
      </w:r>
      <w:r w:rsidRPr="000A1338">
        <w:rPr>
          <w:lang w:val="fr-CA"/>
        </w:rPr>
        <w:t>piétons (pour tous les passages pour piétons).</w:t>
      </w:r>
    </w:p>
    <w:p w14:paraId="14372D20" w14:textId="6723EAA6" w:rsidR="00FD095B" w:rsidRPr="000A1338" w:rsidRDefault="00325C93" w:rsidP="003F66F0">
      <w:pPr>
        <w:pStyle w:val="ListRef"/>
        <w:numPr>
          <w:ilvl w:val="0"/>
          <w:numId w:val="25"/>
        </w:numPr>
        <w:rPr>
          <w:lang w:val="fr-CA"/>
        </w:rPr>
      </w:pPr>
      <w:proofErr w:type="gramStart"/>
      <w:r>
        <w:rPr>
          <w:lang w:val="fr-CA"/>
        </w:rPr>
        <w:t>p</w:t>
      </w:r>
      <w:r w:rsidR="00FD095B" w:rsidRPr="000A1338">
        <w:rPr>
          <w:lang w:val="fr-CA"/>
        </w:rPr>
        <w:t>our</w:t>
      </w:r>
      <w:proofErr w:type="gramEnd"/>
      <w:r w:rsidR="00FD095B" w:rsidRPr="000A1338">
        <w:rPr>
          <w:lang w:val="fr-CA"/>
        </w:rPr>
        <w:t xml:space="preserve"> les surfaces pavées et non pavées</w:t>
      </w:r>
      <w:r w:rsidR="00F1547A">
        <w:rPr>
          <w:lang w:val="fr-CA"/>
        </w:rPr>
        <w:t> </w:t>
      </w:r>
      <w:r w:rsidR="00FD095B" w:rsidRPr="000A1338">
        <w:rPr>
          <w:lang w:val="fr-CA"/>
        </w:rPr>
        <w:t>:</w:t>
      </w:r>
    </w:p>
    <w:p w14:paraId="23CACED0" w14:textId="22623968" w:rsidR="00FD095B" w:rsidRPr="000A1338" w:rsidRDefault="00FD095B" w:rsidP="003F66F0">
      <w:pPr>
        <w:pStyle w:val="ListRef"/>
        <w:numPr>
          <w:ilvl w:val="1"/>
          <w:numId w:val="25"/>
        </w:numPr>
        <w:rPr>
          <w:lang w:val="fr-CA"/>
        </w:rPr>
      </w:pPr>
      <w:proofErr w:type="gramStart"/>
      <w:r w:rsidRPr="000A1338">
        <w:rPr>
          <w:lang w:val="fr-CA"/>
        </w:rPr>
        <w:t>inclure</w:t>
      </w:r>
      <w:proofErr w:type="gramEnd"/>
      <w:r w:rsidRPr="000A1338">
        <w:rPr>
          <w:lang w:val="fr-CA"/>
        </w:rPr>
        <w:t xml:space="preserve"> l</w:t>
      </w:r>
      <w:r w:rsidR="00746F85">
        <w:rPr>
          <w:lang w:val="fr-CA"/>
        </w:rPr>
        <w:t>’</w:t>
      </w:r>
      <w:r w:rsidRPr="000A1338">
        <w:rPr>
          <w:lang w:val="fr-CA"/>
        </w:rPr>
        <w:t>identification de l</w:t>
      </w:r>
      <w:r w:rsidR="00746F85">
        <w:rPr>
          <w:lang w:val="fr-CA"/>
        </w:rPr>
        <w:t>’</w:t>
      </w:r>
      <w:r w:rsidRPr="000A1338">
        <w:rPr>
          <w:lang w:val="fr-CA"/>
        </w:rPr>
        <w:t>emplacement et de la nature des sentiers menant au bâtiment à l</w:t>
      </w:r>
      <w:r w:rsidR="00746F85">
        <w:rPr>
          <w:lang w:val="fr-CA"/>
        </w:rPr>
        <w:t>’</w:t>
      </w:r>
      <w:r w:rsidRPr="000A1338">
        <w:rPr>
          <w:lang w:val="fr-CA"/>
        </w:rPr>
        <w:t>entrée du site,</w:t>
      </w:r>
      <w:r w:rsidR="00763F85">
        <w:rPr>
          <w:lang w:val="fr-CA"/>
        </w:rPr>
        <w:t xml:space="preserve"> </w:t>
      </w:r>
      <w:r w:rsidR="00E5434A">
        <w:rPr>
          <w:rFonts w:cs="Arial"/>
          <w:lang w:val="fr-CA"/>
        </w:rPr>
        <w:t>à</w:t>
      </w:r>
      <w:r w:rsidR="00763F85">
        <w:rPr>
          <w:lang w:val="fr-CA"/>
        </w:rPr>
        <w:t xml:space="preserve"> partir de</w:t>
      </w:r>
      <w:r w:rsidR="00E5434A">
        <w:rPr>
          <w:lang w:val="fr-CA"/>
        </w:rPr>
        <w:t xml:space="preserve"> n’importe quel</w:t>
      </w:r>
      <w:r w:rsidRPr="000A1338">
        <w:rPr>
          <w:lang w:val="fr-CA"/>
        </w:rPr>
        <w:t xml:space="preserve"> espace de stationnement et aux points de décision (intersections) à l</w:t>
      </w:r>
      <w:r w:rsidR="00746F85">
        <w:rPr>
          <w:lang w:val="fr-CA"/>
        </w:rPr>
        <w:t>’</w:t>
      </w:r>
      <w:r w:rsidRPr="000A1338">
        <w:rPr>
          <w:lang w:val="fr-CA"/>
        </w:rPr>
        <w:t>intérieur du site;</w:t>
      </w:r>
    </w:p>
    <w:p w14:paraId="366CBF28" w14:textId="6C052626" w:rsidR="00FD095B" w:rsidRPr="000A1338" w:rsidRDefault="00FD095B" w:rsidP="003F66F0">
      <w:pPr>
        <w:pStyle w:val="ListRef"/>
        <w:numPr>
          <w:ilvl w:val="1"/>
          <w:numId w:val="25"/>
        </w:numPr>
        <w:rPr>
          <w:lang w:val="fr-CA"/>
        </w:rPr>
      </w:pPr>
      <w:proofErr w:type="gramStart"/>
      <w:r w:rsidRPr="000A1338">
        <w:rPr>
          <w:lang w:val="fr-CA"/>
        </w:rPr>
        <w:t>offrir</w:t>
      </w:r>
      <w:proofErr w:type="gramEnd"/>
      <w:r w:rsidRPr="000A1338">
        <w:rPr>
          <w:lang w:val="fr-CA"/>
        </w:rPr>
        <w:t xml:space="preserve"> un</w:t>
      </w:r>
      <w:r w:rsidR="00C80162">
        <w:rPr>
          <w:lang w:val="fr-CA"/>
        </w:rPr>
        <w:t>e</w:t>
      </w:r>
      <w:r w:rsidRPr="000A1338">
        <w:rPr>
          <w:lang w:val="fr-CA"/>
        </w:rPr>
        <w:t xml:space="preserve"> </w:t>
      </w:r>
      <w:r w:rsidR="00A60114">
        <w:rPr>
          <w:lang w:val="fr-CA"/>
        </w:rPr>
        <w:t>voie</w:t>
      </w:r>
      <w:r w:rsidRPr="000A1338">
        <w:rPr>
          <w:lang w:val="fr-CA"/>
        </w:rPr>
        <w:t xml:space="preserve"> piétonn</w:t>
      </w:r>
      <w:r w:rsidR="00A60114">
        <w:rPr>
          <w:lang w:val="fr-CA"/>
        </w:rPr>
        <w:t>e</w:t>
      </w:r>
      <w:r w:rsidRPr="000A1338">
        <w:rPr>
          <w:lang w:val="fr-CA"/>
        </w:rPr>
        <w:t xml:space="preserve"> dédié</w:t>
      </w:r>
      <w:r w:rsidR="00C80162">
        <w:rPr>
          <w:lang w:val="fr-CA"/>
        </w:rPr>
        <w:t>e</w:t>
      </w:r>
      <w:r w:rsidRPr="000A1338">
        <w:rPr>
          <w:lang w:val="fr-CA"/>
        </w:rPr>
        <w:t>, visuellement et tactilement séparé</w:t>
      </w:r>
      <w:r w:rsidR="0019467A">
        <w:rPr>
          <w:lang w:val="fr-CA"/>
        </w:rPr>
        <w:t>e</w:t>
      </w:r>
      <w:r w:rsidRPr="000A1338">
        <w:rPr>
          <w:lang w:val="fr-CA"/>
        </w:rPr>
        <w:t xml:space="preserve"> des autres modes de transport, comme les scooters et les bicyclettes;</w:t>
      </w:r>
    </w:p>
    <w:p w14:paraId="04EE20D9" w14:textId="69AFBC2C" w:rsidR="00FD095B" w:rsidRPr="000A1338" w:rsidRDefault="00515B0E" w:rsidP="003F66F0">
      <w:pPr>
        <w:pStyle w:val="ListRef"/>
        <w:numPr>
          <w:ilvl w:val="1"/>
          <w:numId w:val="25"/>
        </w:numPr>
        <w:rPr>
          <w:lang w:val="fr-CA"/>
        </w:rPr>
      </w:pPr>
      <w:proofErr w:type="gramStart"/>
      <w:r>
        <w:rPr>
          <w:lang w:val="fr-CA"/>
        </w:rPr>
        <w:t>u</w:t>
      </w:r>
      <w:r w:rsidR="00FD095B" w:rsidRPr="000A1338">
        <w:rPr>
          <w:lang w:val="fr-CA"/>
        </w:rPr>
        <w:t>tilise</w:t>
      </w:r>
      <w:r>
        <w:rPr>
          <w:lang w:val="fr-CA"/>
        </w:rPr>
        <w:t>r</w:t>
      </w:r>
      <w:proofErr w:type="gramEnd"/>
      <w:r>
        <w:rPr>
          <w:lang w:val="fr-CA"/>
        </w:rPr>
        <w:t xml:space="preserve"> </w:t>
      </w:r>
      <w:r w:rsidR="00FD095B" w:rsidRPr="000A1338">
        <w:rPr>
          <w:lang w:val="fr-CA"/>
        </w:rPr>
        <w:t>des couleurs contrastantes pour les bords des sentiers par rapport au paysage environnant afin de soutenir l</w:t>
      </w:r>
      <w:r w:rsidR="00746F85">
        <w:rPr>
          <w:lang w:val="fr-CA"/>
        </w:rPr>
        <w:t>’</w:t>
      </w:r>
      <w:r w:rsidR="00FD095B" w:rsidRPr="000A1338">
        <w:rPr>
          <w:lang w:val="fr-CA"/>
        </w:rPr>
        <w:t>orientation</w:t>
      </w:r>
      <w:r>
        <w:rPr>
          <w:lang w:val="fr-CA"/>
        </w:rPr>
        <w:t xml:space="preserve"> </w:t>
      </w:r>
      <w:r w:rsidR="005D10B7">
        <w:rPr>
          <w:lang w:val="fr-CA"/>
        </w:rPr>
        <w:t>(p.</w:t>
      </w:r>
      <w:r w:rsidR="0019467A">
        <w:rPr>
          <w:lang w:val="fr-CA"/>
        </w:rPr>
        <w:t xml:space="preserve"> </w:t>
      </w:r>
      <w:r w:rsidR="005D10B7">
        <w:rPr>
          <w:lang w:val="fr-CA"/>
        </w:rPr>
        <w:t>ex</w:t>
      </w:r>
      <w:r w:rsidR="006040EC">
        <w:rPr>
          <w:lang w:val="fr-CA"/>
        </w:rPr>
        <w:t>. qu’</w:t>
      </w:r>
      <w:r w:rsidR="00FD095B" w:rsidRPr="000A1338">
        <w:rPr>
          <w:lang w:val="fr-CA"/>
        </w:rPr>
        <w:t xml:space="preserve">un </w:t>
      </w:r>
      <w:r w:rsidR="008F2237">
        <w:rPr>
          <w:lang w:val="fr-CA"/>
        </w:rPr>
        <w:t>sentier</w:t>
      </w:r>
      <w:r w:rsidR="00FD095B" w:rsidRPr="000A1338">
        <w:rPr>
          <w:lang w:val="fr-CA"/>
        </w:rPr>
        <w:t xml:space="preserve"> de couleur claire cont</w:t>
      </w:r>
      <w:r w:rsidR="008F2237">
        <w:rPr>
          <w:lang w:val="fr-CA"/>
        </w:rPr>
        <w:t>rasta</w:t>
      </w:r>
      <w:r w:rsidR="00FA16CF">
        <w:rPr>
          <w:lang w:val="fr-CA"/>
        </w:rPr>
        <w:t>nt avec</w:t>
      </w:r>
      <w:r w:rsidR="00FD095B" w:rsidRPr="000A1338">
        <w:rPr>
          <w:lang w:val="fr-CA"/>
        </w:rPr>
        <w:t xml:space="preserve"> une </w:t>
      </w:r>
      <w:r w:rsidR="00FA16CF" w:rsidRPr="00FA16CF">
        <w:rPr>
          <w:lang w:val="fr-CA"/>
        </w:rPr>
        <w:t>vé</w:t>
      </w:r>
      <w:r w:rsidR="00FA16CF">
        <w:rPr>
          <w:lang w:val="fr-CA"/>
        </w:rPr>
        <w:t>gétation</w:t>
      </w:r>
      <w:r w:rsidR="00FD095B" w:rsidRPr="000A1338">
        <w:rPr>
          <w:lang w:val="fr-CA"/>
        </w:rPr>
        <w:t xml:space="preserve"> plus </w:t>
      </w:r>
      <w:r w:rsidR="00FA16CF">
        <w:rPr>
          <w:lang w:val="fr-CA"/>
        </w:rPr>
        <w:t>sombre</w:t>
      </w:r>
      <w:r w:rsidR="00FD095B" w:rsidRPr="000A1338">
        <w:rPr>
          <w:lang w:val="fr-CA"/>
        </w:rPr>
        <w:t xml:space="preserve"> permet aux </w:t>
      </w:r>
      <w:r w:rsidR="00FA16CF">
        <w:rPr>
          <w:lang w:val="fr-CA"/>
        </w:rPr>
        <w:t>personnes</w:t>
      </w:r>
      <w:r w:rsidR="00FD095B" w:rsidRPr="000A1338">
        <w:rPr>
          <w:lang w:val="fr-CA"/>
        </w:rPr>
        <w:t xml:space="preserve"> de mieux di</w:t>
      </w:r>
      <w:r w:rsidR="00364E41">
        <w:rPr>
          <w:lang w:val="fr-CA"/>
        </w:rPr>
        <w:t>stinguer</w:t>
      </w:r>
      <w:r w:rsidR="00FD095B" w:rsidRPr="000A1338">
        <w:rPr>
          <w:lang w:val="fr-CA"/>
        </w:rPr>
        <w:t xml:space="preserve"> l</w:t>
      </w:r>
      <w:r w:rsidR="00FA16CF">
        <w:rPr>
          <w:lang w:val="fr-CA"/>
        </w:rPr>
        <w:t xml:space="preserve">e </w:t>
      </w:r>
      <w:r w:rsidR="00D752EE">
        <w:rPr>
          <w:lang w:val="fr-CA"/>
        </w:rPr>
        <w:t>chemin</w:t>
      </w:r>
      <w:r w:rsidR="00FD095B" w:rsidRPr="000A1338">
        <w:rPr>
          <w:lang w:val="fr-CA"/>
        </w:rPr>
        <w:t xml:space="preserve"> et de le suivre plus facilement</w:t>
      </w:r>
      <w:r w:rsidR="00267357">
        <w:rPr>
          <w:lang w:val="fr-CA"/>
        </w:rPr>
        <w:t>)</w:t>
      </w:r>
      <w:r w:rsidR="00FD095B" w:rsidRPr="000A1338">
        <w:rPr>
          <w:lang w:val="fr-CA"/>
        </w:rPr>
        <w:t>;</w:t>
      </w:r>
    </w:p>
    <w:p w14:paraId="3E6EEAF7" w14:textId="02E3B6D3" w:rsidR="00FD095B" w:rsidRPr="00A02C9F" w:rsidRDefault="00947008" w:rsidP="003F66F0">
      <w:pPr>
        <w:pStyle w:val="ListRef"/>
        <w:numPr>
          <w:ilvl w:val="1"/>
          <w:numId w:val="25"/>
        </w:numPr>
        <w:rPr>
          <w:lang w:val="fr-CA"/>
        </w:rPr>
      </w:pPr>
      <w:proofErr w:type="gramStart"/>
      <w:r>
        <w:rPr>
          <w:lang w:val="fr-CA"/>
        </w:rPr>
        <w:lastRenderedPageBreak/>
        <w:t>être</w:t>
      </w:r>
      <w:proofErr w:type="gramEnd"/>
      <w:r>
        <w:rPr>
          <w:lang w:val="fr-CA"/>
        </w:rPr>
        <w:t xml:space="preserve"> équipé</w:t>
      </w:r>
      <w:r w:rsidR="007772F2">
        <w:rPr>
          <w:lang w:val="fr-CA"/>
        </w:rPr>
        <w:t>s</w:t>
      </w:r>
      <w:r w:rsidR="00FD095B" w:rsidRPr="00A02C9F">
        <w:rPr>
          <w:lang w:val="fr-CA"/>
        </w:rPr>
        <w:t xml:space="preserve"> de </w:t>
      </w:r>
      <w:r w:rsidR="00BC5166">
        <w:rPr>
          <w:lang w:val="fr-CA"/>
        </w:rPr>
        <w:t>garde-corps</w:t>
      </w:r>
      <w:r w:rsidR="00FD095B" w:rsidRPr="00A02C9F">
        <w:rPr>
          <w:lang w:val="fr-CA"/>
        </w:rPr>
        <w:t xml:space="preserve"> à </w:t>
      </w:r>
      <w:r w:rsidR="007772F2">
        <w:rPr>
          <w:lang w:val="fr-CA"/>
        </w:rPr>
        <w:t>c</w:t>
      </w:r>
      <w:r w:rsidR="00FD095B" w:rsidRPr="00A02C9F">
        <w:rPr>
          <w:lang w:val="fr-CA"/>
        </w:rPr>
        <w:t>ontraste</w:t>
      </w:r>
      <w:r w:rsidR="007772F2">
        <w:rPr>
          <w:lang w:val="fr-CA"/>
        </w:rPr>
        <w:t xml:space="preserve"> élevé</w:t>
      </w:r>
      <w:r w:rsidR="00FD095B" w:rsidRPr="00A02C9F">
        <w:rPr>
          <w:lang w:val="fr-CA"/>
        </w:rPr>
        <w:t xml:space="preserve"> le long des sentiers ou près des escaliers pour améliorer la visibilité; et</w:t>
      </w:r>
    </w:p>
    <w:p w14:paraId="4038E02B" w14:textId="62E09489" w:rsidR="00FD095B" w:rsidRPr="00A02C9F" w:rsidRDefault="00542C41" w:rsidP="003F66F0">
      <w:pPr>
        <w:pStyle w:val="ListRef"/>
        <w:numPr>
          <w:ilvl w:val="1"/>
          <w:numId w:val="25"/>
        </w:numPr>
        <w:rPr>
          <w:lang w:val="fr-CA"/>
        </w:rPr>
      </w:pPr>
      <w:proofErr w:type="gramStart"/>
      <w:r>
        <w:rPr>
          <w:lang w:val="fr-CA"/>
        </w:rPr>
        <w:t>reli</w:t>
      </w:r>
      <w:r w:rsidR="00D367E0">
        <w:rPr>
          <w:lang w:val="fr-CA"/>
        </w:rPr>
        <w:t>er</w:t>
      </w:r>
      <w:proofErr w:type="gramEnd"/>
      <w:r w:rsidR="002E4B85">
        <w:rPr>
          <w:lang w:val="fr-CA"/>
        </w:rPr>
        <w:t xml:space="preserve"> </w:t>
      </w:r>
      <w:r w:rsidR="0005102A">
        <w:rPr>
          <w:lang w:val="fr-CA"/>
        </w:rPr>
        <w:t>l</w:t>
      </w:r>
      <w:r w:rsidR="002E4B85">
        <w:rPr>
          <w:lang w:val="fr-CA"/>
        </w:rPr>
        <w:t>es</w:t>
      </w:r>
      <w:r w:rsidR="00FD095B" w:rsidRPr="00A02C9F">
        <w:rPr>
          <w:lang w:val="fr-CA"/>
        </w:rPr>
        <w:t xml:space="preserve"> places de stationnement accessibles et la zone de dépôt </w:t>
      </w:r>
      <w:r>
        <w:rPr>
          <w:lang w:val="fr-CA"/>
        </w:rPr>
        <w:t>reli</w:t>
      </w:r>
      <w:r w:rsidR="00310A1D">
        <w:rPr>
          <w:lang w:val="fr-CA"/>
        </w:rPr>
        <w:t>ée</w:t>
      </w:r>
      <w:r w:rsidR="00FD095B" w:rsidRPr="00A02C9F">
        <w:rPr>
          <w:lang w:val="fr-CA"/>
        </w:rPr>
        <w:t xml:space="preserve"> à l</w:t>
      </w:r>
      <w:r w:rsidR="00746F85">
        <w:rPr>
          <w:lang w:val="fr-CA"/>
        </w:rPr>
        <w:t>’</w:t>
      </w:r>
      <w:r w:rsidR="00FD095B" w:rsidRPr="00A02C9F">
        <w:rPr>
          <w:lang w:val="fr-CA"/>
        </w:rPr>
        <w:t>entrée accessible.</w:t>
      </w:r>
    </w:p>
    <w:p w14:paraId="1D3280DE" w14:textId="2B2E9160" w:rsidR="00FD095B" w:rsidRPr="00A02C9F" w:rsidRDefault="00310A1D" w:rsidP="00A67EC8">
      <w:pPr>
        <w:rPr>
          <w:lang w:val="fr-CA"/>
        </w:rPr>
      </w:pPr>
      <w:r>
        <w:rPr>
          <w:rStyle w:val="EmphasisUseSparingly"/>
          <w:lang w:val="fr-CA"/>
        </w:rPr>
        <w:t>Remarque</w:t>
      </w:r>
      <w:r w:rsidR="00FD095B" w:rsidRPr="00A02C9F">
        <w:rPr>
          <w:rStyle w:val="EmphasisUseSparingly"/>
          <w:lang w:val="fr-CA"/>
        </w:rPr>
        <w:t xml:space="preserve"> 1</w:t>
      </w:r>
      <w:r w:rsidR="00F1547A">
        <w:rPr>
          <w:rStyle w:val="EmphasisUseSparingly"/>
          <w:lang w:val="fr-CA"/>
        </w:rPr>
        <w:t> </w:t>
      </w:r>
      <w:r w:rsidR="00FD095B" w:rsidRPr="00A02C9F">
        <w:rPr>
          <w:rStyle w:val="EmphasisUseSparingly"/>
          <w:lang w:val="fr-CA"/>
        </w:rPr>
        <w:t xml:space="preserve">: </w:t>
      </w:r>
      <w:r w:rsidR="00A67EC8" w:rsidRPr="00A02C9F">
        <w:rPr>
          <w:lang w:val="fr-CA"/>
        </w:rPr>
        <w:t>Éviter les infrastructures partagées, y compris les pistes cyclables entre les points d</w:t>
      </w:r>
      <w:r w:rsidR="00746F85">
        <w:rPr>
          <w:lang w:val="fr-CA"/>
        </w:rPr>
        <w:t>’</w:t>
      </w:r>
      <w:r w:rsidR="00A67EC8" w:rsidRPr="00A02C9F">
        <w:rPr>
          <w:lang w:val="fr-CA"/>
        </w:rPr>
        <w:t>accès aux autobus et aux transports en commun, car elles ne sont pas considérées comme accessibles.</w:t>
      </w:r>
    </w:p>
    <w:p w14:paraId="5805C878" w14:textId="74C8D7B6" w:rsidR="00E22016" w:rsidRPr="00A02C9F" w:rsidRDefault="00310A1D" w:rsidP="00E22016">
      <w:pPr>
        <w:rPr>
          <w:lang w:val="fr-CA"/>
        </w:rPr>
      </w:pPr>
      <w:r>
        <w:rPr>
          <w:rStyle w:val="EmphasisUseSparingly"/>
          <w:lang w:val="fr-CA"/>
        </w:rPr>
        <w:t>Remarque</w:t>
      </w:r>
      <w:r w:rsidR="00FD095B" w:rsidRPr="00A02C9F">
        <w:rPr>
          <w:rStyle w:val="EmphasisUseSparingly"/>
          <w:lang w:val="fr-CA"/>
        </w:rPr>
        <w:t xml:space="preserve"> 2</w:t>
      </w:r>
      <w:r w:rsidR="00F1547A">
        <w:rPr>
          <w:rStyle w:val="EmphasisUseSparingly"/>
          <w:lang w:val="fr-CA"/>
        </w:rPr>
        <w:t> </w:t>
      </w:r>
      <w:r w:rsidR="00FD095B" w:rsidRPr="00A02C9F">
        <w:rPr>
          <w:rStyle w:val="EmphasisUseSparingly"/>
          <w:lang w:val="fr-CA"/>
        </w:rPr>
        <w:t xml:space="preserve">: </w:t>
      </w:r>
      <w:r w:rsidR="0086009C" w:rsidRPr="00A02C9F">
        <w:rPr>
          <w:lang w:val="fr-CA"/>
        </w:rPr>
        <w:t>Des éléments architecturaux peuvent être inclus pour aider à maintenir la visibilité des éléments d</w:t>
      </w:r>
      <w:r w:rsidR="00746F85">
        <w:rPr>
          <w:lang w:val="fr-CA"/>
        </w:rPr>
        <w:t>’</w:t>
      </w:r>
      <w:r w:rsidR="0086009C" w:rsidRPr="00A02C9F">
        <w:rPr>
          <w:lang w:val="fr-CA"/>
        </w:rPr>
        <w:t>orientation et de signalisation selon les saisons.</w:t>
      </w:r>
    </w:p>
    <w:p w14:paraId="2A59BC74" w14:textId="54EEF415" w:rsidR="00EB01A3" w:rsidRPr="00A02C9F" w:rsidRDefault="00576ECA" w:rsidP="00E22016">
      <w:pPr>
        <w:rPr>
          <w:lang w:val="fr-CA"/>
        </w:rPr>
      </w:pPr>
      <w:r>
        <w:rPr>
          <w:rStyle w:val="EmphasisUseSparingly"/>
          <w:lang w:val="fr-CA"/>
        </w:rPr>
        <w:t>Remarque</w:t>
      </w:r>
      <w:r w:rsidR="00EB01A3" w:rsidRPr="00A02C9F">
        <w:rPr>
          <w:rStyle w:val="EmphasisUseSparingly"/>
          <w:lang w:val="fr-CA"/>
        </w:rPr>
        <w:t xml:space="preserve"> 3</w:t>
      </w:r>
      <w:r w:rsidR="00F1547A">
        <w:rPr>
          <w:rStyle w:val="EmphasisUseSparingly"/>
          <w:lang w:val="fr-CA"/>
        </w:rPr>
        <w:t> </w:t>
      </w:r>
      <w:r w:rsidR="00EB01A3" w:rsidRPr="00A02C9F">
        <w:rPr>
          <w:rStyle w:val="EmphasisUseSparingly"/>
          <w:lang w:val="fr-CA"/>
        </w:rPr>
        <w:t>:</w:t>
      </w:r>
      <w:r w:rsidR="002A3C22" w:rsidRPr="00A02C9F">
        <w:rPr>
          <w:lang w:val="fr-CA"/>
        </w:rPr>
        <w:t xml:space="preserve"> Les passages pour piétons décoratifs d</w:t>
      </w:r>
      <w:r w:rsidR="00F67DBA">
        <w:rPr>
          <w:lang w:val="fr-CA"/>
        </w:rPr>
        <w:t>evrai</w:t>
      </w:r>
      <w:r w:rsidR="002A3C22" w:rsidRPr="00A02C9F">
        <w:rPr>
          <w:lang w:val="fr-CA"/>
        </w:rPr>
        <w:t>ent être évités sur les routes à fort</w:t>
      </w:r>
      <w:r w:rsidR="00EB52C7">
        <w:rPr>
          <w:lang w:val="fr-CA"/>
        </w:rPr>
        <w:t xml:space="preserve">e circulation </w:t>
      </w:r>
      <w:r w:rsidR="002A3C22" w:rsidRPr="00A02C9F">
        <w:rPr>
          <w:lang w:val="fr-CA"/>
        </w:rPr>
        <w:t>ou</w:t>
      </w:r>
      <w:r w:rsidR="00E00D0B">
        <w:rPr>
          <w:lang w:val="fr-CA"/>
        </w:rPr>
        <w:t xml:space="preserve"> </w:t>
      </w:r>
      <w:r w:rsidR="0019467A">
        <w:rPr>
          <w:lang w:val="fr-CA"/>
        </w:rPr>
        <w:t>à</w:t>
      </w:r>
      <w:r w:rsidR="00FD0BF7">
        <w:rPr>
          <w:lang w:val="fr-CA"/>
        </w:rPr>
        <w:t xml:space="preserve"> pourcentage élevé de circulation de </w:t>
      </w:r>
      <w:r w:rsidR="00E00D0B">
        <w:rPr>
          <w:lang w:val="fr-CA"/>
        </w:rPr>
        <w:t>camions</w:t>
      </w:r>
      <w:r w:rsidR="002A3C22" w:rsidRPr="00A02C9F">
        <w:rPr>
          <w:lang w:val="fr-CA"/>
        </w:rPr>
        <w:t xml:space="preserve">, ou les deux, </w:t>
      </w:r>
      <w:r w:rsidR="00F618FD">
        <w:rPr>
          <w:lang w:val="fr-CA"/>
        </w:rPr>
        <w:t>en particulier</w:t>
      </w:r>
      <w:r w:rsidR="002A3C22" w:rsidRPr="00A02C9F">
        <w:rPr>
          <w:lang w:val="fr-CA"/>
        </w:rPr>
        <w:t xml:space="preserve"> les artères </w:t>
      </w:r>
      <w:r w:rsidR="00F618FD">
        <w:rPr>
          <w:lang w:val="fr-CA"/>
        </w:rPr>
        <w:t xml:space="preserve">routières </w:t>
      </w:r>
      <w:r w:rsidR="002A3C22" w:rsidRPr="00A02C9F">
        <w:rPr>
          <w:lang w:val="fr-CA"/>
        </w:rPr>
        <w:t>principales et secondaires.</w:t>
      </w:r>
    </w:p>
    <w:p w14:paraId="24BB7CED" w14:textId="78F0FD14" w:rsidR="00EB01A3" w:rsidRPr="00A02C9F" w:rsidRDefault="00F618FD" w:rsidP="00EB01A3">
      <w:pPr>
        <w:rPr>
          <w:lang w:val="fr-CA"/>
        </w:rPr>
      </w:pPr>
      <w:r>
        <w:rPr>
          <w:rStyle w:val="EmphasisUseSparingly"/>
          <w:lang w:val="fr-CA"/>
        </w:rPr>
        <w:t>Remarque</w:t>
      </w:r>
      <w:r w:rsidR="00EB01A3" w:rsidRPr="00A02C9F">
        <w:rPr>
          <w:rStyle w:val="EmphasisUseSparingly"/>
          <w:lang w:val="fr-CA"/>
        </w:rPr>
        <w:t xml:space="preserve"> 4</w:t>
      </w:r>
      <w:r w:rsidR="00F1547A">
        <w:rPr>
          <w:rStyle w:val="EmphasisUseSparingly"/>
          <w:lang w:val="fr-CA"/>
        </w:rPr>
        <w:t> </w:t>
      </w:r>
      <w:r w:rsidR="00EB01A3" w:rsidRPr="00A02C9F">
        <w:rPr>
          <w:rStyle w:val="EmphasisUseSparingly"/>
          <w:lang w:val="fr-CA"/>
        </w:rPr>
        <w:t>:</w:t>
      </w:r>
      <w:r w:rsidR="00EB01A3" w:rsidRPr="00A02C9F">
        <w:rPr>
          <w:lang w:val="fr-CA"/>
        </w:rPr>
        <w:t xml:space="preserve"> Les sentiers non pavés d</w:t>
      </w:r>
      <w:r w:rsidR="00633D61">
        <w:rPr>
          <w:lang w:val="fr-CA"/>
        </w:rPr>
        <w:t>evrai</w:t>
      </w:r>
      <w:r w:rsidR="00EB01A3" w:rsidRPr="00A02C9F">
        <w:rPr>
          <w:lang w:val="fr-CA"/>
        </w:rPr>
        <w:t>ent être séparés des véhicules plus rapides (p</w:t>
      </w:r>
      <w:r w:rsidR="00633D61">
        <w:rPr>
          <w:lang w:val="fr-CA"/>
        </w:rPr>
        <w:t>.</w:t>
      </w:r>
      <w:r w:rsidR="006A7DB9">
        <w:rPr>
          <w:lang w:val="fr-CA"/>
        </w:rPr>
        <w:t xml:space="preserve"> </w:t>
      </w:r>
      <w:r w:rsidR="00633D61">
        <w:rPr>
          <w:lang w:val="fr-CA"/>
        </w:rPr>
        <w:t>ex.</w:t>
      </w:r>
      <w:r w:rsidR="00EB01A3" w:rsidRPr="00A02C9F">
        <w:rPr>
          <w:lang w:val="fr-CA"/>
        </w:rPr>
        <w:t xml:space="preserve">, </w:t>
      </w:r>
      <w:r w:rsidR="00633D61">
        <w:rPr>
          <w:lang w:val="fr-CA"/>
        </w:rPr>
        <w:t>scooters</w:t>
      </w:r>
      <w:r w:rsidR="00EB01A3" w:rsidRPr="00A02C9F">
        <w:rPr>
          <w:lang w:val="fr-CA"/>
        </w:rPr>
        <w:t>, bicyclettes, vélos électriques, voitures électriques) afin d</w:t>
      </w:r>
      <w:r w:rsidR="00746F85">
        <w:rPr>
          <w:lang w:val="fr-CA"/>
        </w:rPr>
        <w:t>’</w:t>
      </w:r>
      <w:r w:rsidR="00EB01A3" w:rsidRPr="00A02C9F">
        <w:rPr>
          <w:lang w:val="fr-CA"/>
        </w:rPr>
        <w:t>améliorer la sécurité des personnes de toutes capacités.</w:t>
      </w:r>
    </w:p>
    <w:p w14:paraId="779B65D6" w14:textId="2237787C" w:rsidR="00EB01A3" w:rsidRPr="006F785D" w:rsidRDefault="007D5ADD" w:rsidP="00F00CB2">
      <w:pPr>
        <w:pStyle w:val="Heading2"/>
        <w:ind w:left="1134" w:hanging="1134"/>
        <w:rPr>
          <w:lang w:val="fr-CA"/>
        </w:rPr>
      </w:pPr>
      <w:bookmarkStart w:id="593" w:name="_Toc219706206"/>
      <w:r w:rsidRPr="00A02C9F">
        <w:rPr>
          <w:lang w:val="fr-CA"/>
        </w:rPr>
        <w:t>Indicateur tactile de surface de marche (</w:t>
      </w:r>
      <w:r w:rsidR="00750E24">
        <w:rPr>
          <w:lang w:val="fr-CA"/>
        </w:rPr>
        <w:t>ITSM</w:t>
      </w:r>
      <w:r w:rsidRPr="006F785D">
        <w:rPr>
          <w:lang w:val="fr-CA"/>
        </w:rPr>
        <w:t>)</w:t>
      </w:r>
      <w:bookmarkEnd w:id="593"/>
    </w:p>
    <w:p w14:paraId="31FE66B8" w14:textId="7F7ED283" w:rsidR="003E68C3" w:rsidRPr="006F785D" w:rsidRDefault="00721454" w:rsidP="00E55F2B">
      <w:pPr>
        <w:rPr>
          <w:lang w:val="fr-CA"/>
        </w:rPr>
      </w:pPr>
      <w:r>
        <w:rPr>
          <w:rStyle w:val="EmphasisUseSparingly"/>
          <w:lang w:val="fr-CA"/>
        </w:rPr>
        <w:t>Remarque</w:t>
      </w:r>
      <w:r w:rsidR="00F1547A">
        <w:rPr>
          <w:rStyle w:val="EmphasisUseSparingly"/>
          <w:lang w:val="fr-CA"/>
        </w:rPr>
        <w:t> </w:t>
      </w:r>
      <w:r w:rsidR="003E68C3" w:rsidRPr="006F785D">
        <w:rPr>
          <w:rStyle w:val="EmphasisUseSparingly"/>
          <w:lang w:val="fr-CA"/>
        </w:rPr>
        <w:t xml:space="preserve">: </w:t>
      </w:r>
      <w:r w:rsidR="003E68C3" w:rsidRPr="006F785D">
        <w:rPr>
          <w:lang w:val="fr-CA"/>
        </w:rPr>
        <w:t>Cette norme utilise les termes «</w:t>
      </w:r>
      <w:r w:rsidR="00A92827">
        <w:rPr>
          <w:lang w:val="fr-CA"/>
        </w:rPr>
        <w:t> </w:t>
      </w:r>
      <w:r w:rsidR="003E68C3" w:rsidRPr="006F785D">
        <w:rPr>
          <w:lang w:val="fr-CA"/>
        </w:rPr>
        <w:t>indicateur d</w:t>
      </w:r>
      <w:r w:rsidR="00746F85">
        <w:rPr>
          <w:lang w:val="fr-CA"/>
        </w:rPr>
        <w:t>’</w:t>
      </w:r>
      <w:r w:rsidR="003E68C3" w:rsidRPr="006F785D">
        <w:rPr>
          <w:lang w:val="fr-CA"/>
        </w:rPr>
        <w:t>a</w:t>
      </w:r>
      <w:r w:rsidR="00C8414B">
        <w:rPr>
          <w:lang w:val="fr-CA"/>
        </w:rPr>
        <w:t>vertissement</w:t>
      </w:r>
      <w:r w:rsidR="00A92827">
        <w:rPr>
          <w:lang w:val="fr-CA"/>
        </w:rPr>
        <w:t> </w:t>
      </w:r>
      <w:r w:rsidR="003E68C3" w:rsidRPr="006F785D">
        <w:rPr>
          <w:lang w:val="fr-CA"/>
        </w:rPr>
        <w:t>» et «</w:t>
      </w:r>
      <w:r w:rsidR="00A92827">
        <w:rPr>
          <w:lang w:val="fr-CA"/>
        </w:rPr>
        <w:t> </w:t>
      </w:r>
      <w:r w:rsidR="003E68C3" w:rsidRPr="006F785D">
        <w:rPr>
          <w:lang w:val="fr-CA"/>
        </w:rPr>
        <w:t>indicateur de direction</w:t>
      </w:r>
      <w:r w:rsidR="00A92827">
        <w:rPr>
          <w:lang w:val="fr-CA"/>
        </w:rPr>
        <w:t> </w:t>
      </w:r>
      <w:r w:rsidR="003E68C3" w:rsidRPr="006F785D">
        <w:rPr>
          <w:lang w:val="fr-CA"/>
        </w:rPr>
        <w:t>» pour s</w:t>
      </w:r>
      <w:r w:rsidR="00746F85">
        <w:rPr>
          <w:lang w:val="fr-CA"/>
        </w:rPr>
        <w:t>’</w:t>
      </w:r>
      <w:r w:rsidR="003E68C3" w:rsidRPr="006F785D">
        <w:rPr>
          <w:lang w:val="fr-CA"/>
        </w:rPr>
        <w:t>aligner sur d</w:t>
      </w:r>
      <w:r w:rsidR="00746F85">
        <w:rPr>
          <w:lang w:val="fr-CA"/>
        </w:rPr>
        <w:t>’</w:t>
      </w:r>
      <w:r w:rsidR="003E68C3" w:rsidRPr="006F785D">
        <w:rPr>
          <w:lang w:val="fr-CA"/>
        </w:rPr>
        <w:t>autres normes nationales du Canada. Les normes internationales peuvent utiliser une terminologie différente comme «</w:t>
      </w:r>
      <w:r w:rsidR="00A92827">
        <w:rPr>
          <w:lang w:val="fr-CA"/>
        </w:rPr>
        <w:t> </w:t>
      </w:r>
      <w:r w:rsidR="003E68C3" w:rsidRPr="006F785D">
        <w:rPr>
          <w:lang w:val="fr-CA"/>
        </w:rPr>
        <w:t>schéma d</w:t>
      </w:r>
      <w:r w:rsidR="00746F85">
        <w:rPr>
          <w:lang w:val="fr-CA"/>
        </w:rPr>
        <w:t>’</w:t>
      </w:r>
      <w:r w:rsidR="003E68C3" w:rsidRPr="006F785D">
        <w:rPr>
          <w:lang w:val="fr-CA"/>
        </w:rPr>
        <w:t>a</w:t>
      </w:r>
      <w:r w:rsidR="00E3448F">
        <w:rPr>
          <w:lang w:val="fr-CA"/>
        </w:rPr>
        <w:t>vertissement</w:t>
      </w:r>
      <w:r w:rsidR="00A92827">
        <w:rPr>
          <w:lang w:val="fr-CA"/>
        </w:rPr>
        <w:t> </w:t>
      </w:r>
      <w:r w:rsidR="003E68C3" w:rsidRPr="006F785D">
        <w:rPr>
          <w:lang w:val="fr-CA"/>
        </w:rPr>
        <w:t>» et «</w:t>
      </w:r>
      <w:r w:rsidR="00A92827">
        <w:rPr>
          <w:lang w:val="fr-CA"/>
        </w:rPr>
        <w:t> </w:t>
      </w:r>
      <w:r w:rsidR="003E68C3" w:rsidRPr="006F785D">
        <w:rPr>
          <w:lang w:val="fr-CA"/>
        </w:rPr>
        <w:t>schéma de direction</w:t>
      </w:r>
      <w:r w:rsidR="00A92827">
        <w:rPr>
          <w:lang w:val="fr-CA"/>
        </w:rPr>
        <w:t> </w:t>
      </w:r>
      <w:r w:rsidR="003E68C3" w:rsidRPr="006F785D">
        <w:rPr>
          <w:lang w:val="fr-CA"/>
        </w:rPr>
        <w:t>».</w:t>
      </w:r>
    </w:p>
    <w:p w14:paraId="363311BB" w14:textId="6A63C086" w:rsidR="00450EA7" w:rsidRDefault="003E68C3" w:rsidP="003E68C3">
      <w:pPr>
        <w:pStyle w:val="Heading3"/>
      </w:pPr>
      <w:bookmarkStart w:id="594" w:name="_Toc219706207"/>
      <w:proofErr w:type="spellStart"/>
      <w:r>
        <w:lastRenderedPageBreak/>
        <w:t>Concevoir</w:t>
      </w:r>
      <w:proofErr w:type="spellEnd"/>
      <w:r>
        <w:t xml:space="preserve"> </w:t>
      </w:r>
      <w:proofErr w:type="spellStart"/>
      <w:r>
        <w:t>selon</w:t>
      </w:r>
      <w:proofErr w:type="spellEnd"/>
      <w:r>
        <w:t xml:space="preserve"> la </w:t>
      </w:r>
      <w:proofErr w:type="spellStart"/>
      <w:r>
        <w:t>fonction</w:t>
      </w:r>
      <w:bookmarkEnd w:id="594"/>
      <w:proofErr w:type="spellEnd"/>
    </w:p>
    <w:p w14:paraId="38D1BC54" w14:textId="1D7BD455" w:rsidR="00AC6E40" w:rsidRDefault="00AC6E40" w:rsidP="00AC6E40">
      <w:pPr>
        <w:pStyle w:val="Heading4"/>
      </w:pPr>
      <w:r>
        <w:t xml:space="preserve">Exigences </w:t>
      </w:r>
      <w:proofErr w:type="spellStart"/>
      <w:r>
        <w:t>générales</w:t>
      </w:r>
      <w:proofErr w:type="spellEnd"/>
    </w:p>
    <w:p w14:paraId="57817FE2" w14:textId="1E8955D9" w:rsidR="00302091" w:rsidRPr="00876D95" w:rsidRDefault="00302091" w:rsidP="00302091">
      <w:r>
        <w:t xml:space="preserve">Les </w:t>
      </w:r>
      <w:r w:rsidR="00750E24">
        <w:t>ITSM</w:t>
      </w:r>
      <w:r>
        <w:t xml:space="preserve"> </w:t>
      </w:r>
      <w:proofErr w:type="spellStart"/>
      <w:proofErr w:type="gramStart"/>
      <w:r>
        <w:t>doivent</w:t>
      </w:r>
      <w:proofErr w:type="spellEnd"/>
      <w:r w:rsidR="00F1547A">
        <w:t> </w:t>
      </w:r>
      <w:r>
        <w:t>:</w:t>
      </w:r>
      <w:proofErr w:type="gramEnd"/>
    </w:p>
    <w:p w14:paraId="6FD329B7" w14:textId="58EA2E89" w:rsidR="00302091" w:rsidRPr="002A6C61" w:rsidRDefault="00302091" w:rsidP="003F66F0">
      <w:pPr>
        <w:pStyle w:val="ListParagraph"/>
        <w:numPr>
          <w:ilvl w:val="0"/>
          <w:numId w:val="27"/>
        </w:numPr>
        <w:rPr>
          <w:lang w:val="fr-CA"/>
        </w:rPr>
      </w:pPr>
      <w:proofErr w:type="gramStart"/>
      <w:r w:rsidRPr="002A6C61">
        <w:rPr>
          <w:lang w:val="fr-CA"/>
        </w:rPr>
        <w:t>être</w:t>
      </w:r>
      <w:proofErr w:type="gramEnd"/>
      <w:r w:rsidRPr="002A6C61">
        <w:rPr>
          <w:lang w:val="fr-CA"/>
        </w:rPr>
        <w:t xml:space="preserve"> placé</w:t>
      </w:r>
      <w:r w:rsidR="004119EC">
        <w:rPr>
          <w:lang w:val="fr-CA"/>
        </w:rPr>
        <w:t>s</w:t>
      </w:r>
      <w:r w:rsidRPr="002A6C61">
        <w:rPr>
          <w:lang w:val="fr-CA"/>
        </w:rPr>
        <w:t xml:space="preserve"> dans des zones dépourvues de repères construits ou naturels pour la navigation;</w:t>
      </w:r>
    </w:p>
    <w:p w14:paraId="79D0ED73" w14:textId="28D785A8" w:rsidR="00302091" w:rsidRPr="002A6C61" w:rsidRDefault="00302091" w:rsidP="003F66F0">
      <w:pPr>
        <w:pStyle w:val="ListParagraph"/>
        <w:numPr>
          <w:ilvl w:val="0"/>
          <w:numId w:val="27"/>
        </w:numPr>
        <w:rPr>
          <w:lang w:val="fr-CA"/>
        </w:rPr>
      </w:pPr>
      <w:proofErr w:type="gramStart"/>
      <w:r w:rsidRPr="002A6C61">
        <w:rPr>
          <w:lang w:val="fr-CA"/>
        </w:rPr>
        <w:t>être</w:t>
      </w:r>
      <w:proofErr w:type="gramEnd"/>
      <w:r w:rsidRPr="002A6C61">
        <w:rPr>
          <w:lang w:val="fr-CA"/>
        </w:rPr>
        <w:t xml:space="preserve"> </w:t>
      </w:r>
      <w:r w:rsidR="00982971">
        <w:rPr>
          <w:lang w:val="fr-CA"/>
        </w:rPr>
        <w:t>organis</w:t>
      </w:r>
      <w:r w:rsidR="00677761">
        <w:rPr>
          <w:rFonts w:cs="Arial"/>
          <w:lang w:val="fr-CA"/>
        </w:rPr>
        <w:t>é</w:t>
      </w:r>
      <w:r w:rsidR="00982971">
        <w:rPr>
          <w:lang w:val="fr-CA"/>
        </w:rPr>
        <w:t>s</w:t>
      </w:r>
      <w:r w:rsidRPr="002A6C61">
        <w:rPr>
          <w:lang w:val="fr-CA"/>
        </w:rPr>
        <w:t xml:space="preserve"> selon une séquence claire et structurée, avec des points de départ et d</w:t>
      </w:r>
      <w:r w:rsidR="00746F85">
        <w:rPr>
          <w:lang w:val="fr-CA"/>
        </w:rPr>
        <w:t>’</w:t>
      </w:r>
      <w:r w:rsidRPr="002A6C61">
        <w:rPr>
          <w:lang w:val="fr-CA"/>
        </w:rPr>
        <w:t>arrivée définis,</w:t>
      </w:r>
      <w:r w:rsidR="00036940">
        <w:rPr>
          <w:lang w:val="fr-CA"/>
        </w:rPr>
        <w:t xml:space="preserve"> indiquant </w:t>
      </w:r>
      <w:r w:rsidRPr="002A6C61">
        <w:rPr>
          <w:lang w:val="fr-CA"/>
        </w:rPr>
        <w:t xml:space="preserve">les intersections, les points de décision ou les </w:t>
      </w:r>
      <w:proofErr w:type="gramStart"/>
      <w:r w:rsidRPr="002A6C61">
        <w:rPr>
          <w:lang w:val="fr-CA"/>
        </w:rPr>
        <w:t>dangers potentiels</w:t>
      </w:r>
      <w:proofErr w:type="gramEnd"/>
      <w:r w:rsidRPr="002A6C61">
        <w:rPr>
          <w:lang w:val="fr-CA"/>
        </w:rPr>
        <w:t xml:space="preserve"> </w:t>
      </w:r>
      <w:r w:rsidR="00036940">
        <w:rPr>
          <w:lang w:val="fr-CA"/>
        </w:rPr>
        <w:t>le long du</w:t>
      </w:r>
      <w:r w:rsidRPr="002A6C61">
        <w:rPr>
          <w:lang w:val="fr-CA"/>
        </w:rPr>
        <w:t xml:space="preserve"> chemin;</w:t>
      </w:r>
    </w:p>
    <w:p w14:paraId="2490006E" w14:textId="04708D07" w:rsidR="00302091" w:rsidRPr="002A6C61" w:rsidRDefault="00302091" w:rsidP="003F66F0">
      <w:pPr>
        <w:pStyle w:val="ListParagraph"/>
        <w:numPr>
          <w:ilvl w:val="0"/>
          <w:numId w:val="27"/>
        </w:numPr>
        <w:rPr>
          <w:lang w:val="fr-CA"/>
        </w:rPr>
      </w:pPr>
      <w:proofErr w:type="gramStart"/>
      <w:r w:rsidRPr="002A6C61">
        <w:rPr>
          <w:lang w:val="fr-CA"/>
        </w:rPr>
        <w:t>être</w:t>
      </w:r>
      <w:proofErr w:type="gramEnd"/>
      <w:r w:rsidRPr="002A6C61">
        <w:rPr>
          <w:lang w:val="fr-CA"/>
        </w:rPr>
        <w:t xml:space="preserve"> suffisamment profond</w:t>
      </w:r>
      <w:r w:rsidR="0018597A">
        <w:rPr>
          <w:lang w:val="fr-CA"/>
        </w:rPr>
        <w:t>s</w:t>
      </w:r>
      <w:r w:rsidRPr="002A6C61">
        <w:rPr>
          <w:lang w:val="fr-CA"/>
        </w:rPr>
        <w:t xml:space="preserve"> dans la direction du déplacement pour assurer une détectabilité adéquate et une réponse appropriée des utilisateurs, comme s</w:t>
      </w:r>
      <w:r w:rsidR="00746F85">
        <w:rPr>
          <w:lang w:val="fr-CA"/>
        </w:rPr>
        <w:t>’</w:t>
      </w:r>
      <w:r w:rsidRPr="002A6C61">
        <w:rPr>
          <w:lang w:val="fr-CA"/>
        </w:rPr>
        <w:t>arrêter et tourner;</w:t>
      </w:r>
    </w:p>
    <w:p w14:paraId="101FF2DE" w14:textId="768AFE48" w:rsidR="00302091" w:rsidRPr="002A6C61" w:rsidRDefault="00E53BC1" w:rsidP="003F66F0">
      <w:pPr>
        <w:pStyle w:val="ListParagraph"/>
        <w:numPr>
          <w:ilvl w:val="0"/>
          <w:numId w:val="27"/>
        </w:numPr>
        <w:rPr>
          <w:lang w:val="fr-CA"/>
        </w:rPr>
      </w:pPr>
      <w:proofErr w:type="gramStart"/>
      <w:r>
        <w:rPr>
          <w:lang w:val="fr-CA"/>
        </w:rPr>
        <w:t>avoir</w:t>
      </w:r>
      <w:proofErr w:type="gramEnd"/>
      <w:r>
        <w:rPr>
          <w:lang w:val="fr-CA"/>
        </w:rPr>
        <w:t xml:space="preserve"> </w:t>
      </w:r>
      <w:r w:rsidR="00302091" w:rsidRPr="002A6C61">
        <w:rPr>
          <w:lang w:val="fr-CA"/>
        </w:rPr>
        <w:t>leur</w:t>
      </w:r>
      <w:r w:rsidR="004119EC">
        <w:rPr>
          <w:lang w:val="fr-CA"/>
        </w:rPr>
        <w:t>s</w:t>
      </w:r>
      <w:r w:rsidR="00302091" w:rsidRPr="002A6C61">
        <w:rPr>
          <w:lang w:val="fr-CA"/>
        </w:rPr>
        <w:t xml:space="preserve"> point</w:t>
      </w:r>
      <w:r w:rsidR="00270144">
        <w:rPr>
          <w:lang w:val="fr-CA"/>
        </w:rPr>
        <w:t>s</w:t>
      </w:r>
      <w:r w:rsidR="00302091" w:rsidRPr="002A6C61">
        <w:rPr>
          <w:lang w:val="fr-CA"/>
        </w:rPr>
        <w:t xml:space="preserve"> de départ bien défini</w:t>
      </w:r>
      <w:r w:rsidR="00825D95">
        <w:rPr>
          <w:lang w:val="fr-CA"/>
        </w:rPr>
        <w:t>s</w:t>
      </w:r>
      <w:r w:rsidR="00302091" w:rsidRPr="002A6C61">
        <w:rPr>
          <w:lang w:val="fr-CA"/>
        </w:rPr>
        <w:t xml:space="preserve"> et facilement identifiable</w:t>
      </w:r>
      <w:r w:rsidR="00B93F7E">
        <w:rPr>
          <w:lang w:val="fr-CA"/>
        </w:rPr>
        <w:t>s</w:t>
      </w:r>
      <w:r w:rsidR="00302091" w:rsidRPr="002A6C61">
        <w:rPr>
          <w:lang w:val="fr-CA"/>
        </w:rPr>
        <w:t>, alignés avec des indices de navigation construits et naturels; et</w:t>
      </w:r>
    </w:p>
    <w:p w14:paraId="6E60A324" w14:textId="7FA1C7CB" w:rsidR="00302091" w:rsidRPr="002A6C61" w:rsidRDefault="000C3003" w:rsidP="003F66F0">
      <w:pPr>
        <w:pStyle w:val="ListParagraph"/>
        <w:numPr>
          <w:ilvl w:val="0"/>
          <w:numId w:val="27"/>
        </w:numPr>
        <w:rPr>
          <w:lang w:val="fr-CA"/>
        </w:rPr>
      </w:pPr>
      <w:proofErr w:type="gramStart"/>
      <w:r>
        <w:rPr>
          <w:lang w:val="fr-CA"/>
        </w:rPr>
        <w:t>avoir</w:t>
      </w:r>
      <w:proofErr w:type="gramEnd"/>
      <w:r>
        <w:rPr>
          <w:lang w:val="fr-CA"/>
        </w:rPr>
        <w:t xml:space="preserve"> </w:t>
      </w:r>
      <w:r w:rsidR="00302091" w:rsidRPr="002A6C61">
        <w:rPr>
          <w:lang w:val="fr-CA"/>
        </w:rPr>
        <w:t>une surface de marche adjacente lisse d</w:t>
      </w:r>
      <w:r w:rsidR="00746F85">
        <w:rPr>
          <w:lang w:val="fr-CA"/>
        </w:rPr>
        <w:t>’</w:t>
      </w:r>
      <w:r w:rsidR="00302091" w:rsidRPr="002A6C61">
        <w:rPr>
          <w:lang w:val="fr-CA"/>
        </w:rPr>
        <w:t>au moins 600</w:t>
      </w:r>
      <w:r w:rsidR="00FA4FCB">
        <w:rPr>
          <w:lang w:val="fr-CA"/>
        </w:rPr>
        <w:t> </w:t>
      </w:r>
      <w:r w:rsidR="00302091" w:rsidRPr="002A6C61">
        <w:rPr>
          <w:lang w:val="fr-CA"/>
        </w:rPr>
        <w:t>mm de large.</w:t>
      </w:r>
    </w:p>
    <w:p w14:paraId="0C5F9218" w14:textId="7CA83708" w:rsidR="00302091" w:rsidRPr="002A6C61" w:rsidRDefault="00D110DD" w:rsidP="00D110DD">
      <w:pPr>
        <w:pStyle w:val="ListRef"/>
        <w:spacing w:line="240" w:lineRule="auto"/>
        <w:ind w:left="0" w:firstLine="0"/>
        <w:rPr>
          <w:lang w:val="fr-CA"/>
        </w:rPr>
      </w:pPr>
      <w:r>
        <w:rPr>
          <w:rStyle w:val="EmphasisUseSparingly"/>
          <w:lang w:val="fr-CA"/>
        </w:rPr>
        <w:t>Remarque</w:t>
      </w:r>
      <w:r w:rsidR="00302091" w:rsidRPr="002A6C61">
        <w:rPr>
          <w:rStyle w:val="EmphasisUseSparingly"/>
          <w:lang w:val="fr-CA"/>
        </w:rPr>
        <w:t xml:space="preserve"> 1</w:t>
      </w:r>
      <w:r w:rsidR="00F1547A">
        <w:rPr>
          <w:rStyle w:val="EmphasisUseSparingly"/>
          <w:lang w:val="fr-CA"/>
        </w:rPr>
        <w:t> </w:t>
      </w:r>
      <w:r w:rsidR="00302091" w:rsidRPr="002A6C61">
        <w:rPr>
          <w:rStyle w:val="EmphasisUseSparingly"/>
          <w:lang w:val="fr-CA"/>
        </w:rPr>
        <w:t>:</w:t>
      </w:r>
      <w:r w:rsidR="00302091" w:rsidRPr="002A6C61">
        <w:rPr>
          <w:lang w:val="fr-CA"/>
        </w:rPr>
        <w:t xml:space="preserve"> Les </w:t>
      </w:r>
      <w:r w:rsidR="00750E24">
        <w:rPr>
          <w:lang w:val="fr-CA"/>
        </w:rPr>
        <w:t>ITSM</w:t>
      </w:r>
      <w:r w:rsidR="00302091" w:rsidRPr="002A6C61">
        <w:rPr>
          <w:lang w:val="fr-CA"/>
        </w:rPr>
        <w:t xml:space="preserve"> ne </w:t>
      </w:r>
      <w:r w:rsidR="00891EFB">
        <w:rPr>
          <w:lang w:val="fr-CA"/>
        </w:rPr>
        <w:t xml:space="preserve">sont pas </w:t>
      </w:r>
      <w:r w:rsidR="00891EFB">
        <w:rPr>
          <w:rFonts w:cs="Arial"/>
          <w:lang w:val="fr-CA"/>
        </w:rPr>
        <w:t>à</w:t>
      </w:r>
      <w:r w:rsidR="00302091" w:rsidRPr="002A6C61">
        <w:rPr>
          <w:lang w:val="fr-CA"/>
        </w:rPr>
        <w:t xml:space="preserve"> utilis</w:t>
      </w:r>
      <w:r w:rsidR="00270144">
        <w:rPr>
          <w:lang w:val="fr-CA"/>
        </w:rPr>
        <w:t>er</w:t>
      </w:r>
      <w:r w:rsidR="00302091" w:rsidRPr="002A6C61">
        <w:rPr>
          <w:lang w:val="fr-CA"/>
        </w:rPr>
        <w:t xml:space="preserve"> pour compenser une</w:t>
      </w:r>
      <w:r>
        <w:rPr>
          <w:lang w:val="fr-CA"/>
        </w:rPr>
        <w:t xml:space="preserve"> </w:t>
      </w:r>
      <w:r w:rsidR="00302091" w:rsidRPr="002A6C61">
        <w:rPr>
          <w:lang w:val="fr-CA"/>
        </w:rPr>
        <w:t>conception inadéquate.</w:t>
      </w:r>
    </w:p>
    <w:p w14:paraId="0EF44677" w14:textId="6FAED765" w:rsidR="00820CA5" w:rsidRPr="002A6C61" w:rsidRDefault="00202F80" w:rsidP="00820CA5">
      <w:pPr>
        <w:rPr>
          <w:lang w:val="fr-CA"/>
        </w:rPr>
      </w:pPr>
      <w:bookmarkStart w:id="595" w:name="_Hlk209622739"/>
      <w:r>
        <w:rPr>
          <w:rStyle w:val="EmphasisUseSparingly"/>
          <w:lang w:val="fr-CA"/>
        </w:rPr>
        <w:t>Remarque</w:t>
      </w:r>
      <w:r w:rsidR="00820CA5" w:rsidRPr="002A6C61">
        <w:rPr>
          <w:rStyle w:val="EmphasisUseSparingly"/>
          <w:lang w:val="fr-CA"/>
        </w:rPr>
        <w:t xml:space="preserve"> 2</w:t>
      </w:r>
      <w:r w:rsidR="00F1547A">
        <w:rPr>
          <w:rStyle w:val="EmphasisUseSparingly"/>
          <w:lang w:val="fr-CA"/>
        </w:rPr>
        <w:t> </w:t>
      </w:r>
      <w:r w:rsidR="00820CA5" w:rsidRPr="002A6C61">
        <w:rPr>
          <w:rStyle w:val="EmphasisUseSparingly"/>
          <w:lang w:val="fr-CA"/>
        </w:rPr>
        <w:t xml:space="preserve">: </w:t>
      </w:r>
      <w:r w:rsidR="00820CA5" w:rsidRPr="002A6C61">
        <w:rPr>
          <w:lang w:val="fr-CA"/>
        </w:rPr>
        <w:t xml:space="preserve">Les </w:t>
      </w:r>
      <w:r w:rsidR="00750E24">
        <w:rPr>
          <w:lang w:val="fr-CA"/>
        </w:rPr>
        <w:t>ITSM</w:t>
      </w:r>
      <w:r w:rsidR="00820CA5" w:rsidRPr="002A6C61">
        <w:rPr>
          <w:lang w:val="fr-CA"/>
        </w:rPr>
        <w:t xml:space="preserve"> </w:t>
      </w:r>
      <w:r w:rsidR="001565EE">
        <w:rPr>
          <w:lang w:val="fr-CA"/>
        </w:rPr>
        <w:t>sont</w:t>
      </w:r>
      <w:r w:rsidR="00820CA5" w:rsidRPr="002A6C61">
        <w:rPr>
          <w:lang w:val="fr-CA"/>
        </w:rPr>
        <w:t xml:space="preserve"> également installés indépendamment pour marquer les dangers ou les </w:t>
      </w:r>
      <w:r w:rsidR="002F7001">
        <w:rPr>
          <w:lang w:val="fr-CA"/>
        </w:rPr>
        <w:t>lieux</w:t>
      </w:r>
      <w:r w:rsidR="00820CA5" w:rsidRPr="002A6C61">
        <w:rPr>
          <w:lang w:val="fr-CA"/>
        </w:rPr>
        <w:t xml:space="preserve"> spécifiques permettant aux individus de se déplacer en toute sécurité d</w:t>
      </w:r>
      <w:r w:rsidR="00746F85">
        <w:rPr>
          <w:lang w:val="fr-CA"/>
        </w:rPr>
        <w:t>’</w:t>
      </w:r>
      <w:r w:rsidR="00820CA5" w:rsidRPr="002A6C61">
        <w:rPr>
          <w:lang w:val="fr-CA"/>
        </w:rPr>
        <w:t>une destination à une autre.</w:t>
      </w:r>
      <w:bookmarkEnd w:id="595"/>
    </w:p>
    <w:p w14:paraId="57FEF6C7" w14:textId="4C928D40" w:rsidR="005A5B96" w:rsidRPr="002A6C61" w:rsidRDefault="002F7001" w:rsidP="005A5B96">
      <w:pPr>
        <w:rPr>
          <w:lang w:val="fr-CA"/>
        </w:rPr>
      </w:pPr>
      <w:r>
        <w:rPr>
          <w:rStyle w:val="EmphasisUseSparingly"/>
          <w:lang w:val="fr-CA"/>
        </w:rPr>
        <w:t>Remarque</w:t>
      </w:r>
      <w:r w:rsidR="005A5B96" w:rsidRPr="002A6C61">
        <w:rPr>
          <w:rStyle w:val="EmphasisUseSparingly"/>
          <w:lang w:val="fr-CA"/>
        </w:rPr>
        <w:t xml:space="preserve"> 3</w:t>
      </w:r>
      <w:r w:rsidR="00F1547A">
        <w:rPr>
          <w:rStyle w:val="EmphasisUseSparingly"/>
          <w:lang w:val="fr-CA"/>
        </w:rPr>
        <w:t> </w:t>
      </w:r>
      <w:r w:rsidR="005A5B96" w:rsidRPr="002A6C61">
        <w:rPr>
          <w:rStyle w:val="EmphasisUseSparingly"/>
          <w:lang w:val="fr-CA"/>
        </w:rPr>
        <w:t xml:space="preserve">: </w:t>
      </w:r>
      <w:r w:rsidR="005A5B96" w:rsidRPr="002A6C61">
        <w:rPr>
          <w:lang w:val="fr-CA"/>
        </w:rPr>
        <w:t xml:space="preserve">Les </w:t>
      </w:r>
      <w:r w:rsidR="00750E24">
        <w:rPr>
          <w:lang w:val="fr-CA"/>
        </w:rPr>
        <w:t>ITSM</w:t>
      </w:r>
      <w:r w:rsidR="005A5B96" w:rsidRPr="002A6C61">
        <w:rPr>
          <w:lang w:val="fr-CA"/>
        </w:rPr>
        <w:t xml:space="preserve"> pe</w:t>
      </w:r>
      <w:r w:rsidR="008666F0">
        <w:rPr>
          <w:lang w:val="fr-CA"/>
        </w:rPr>
        <w:t xml:space="preserve">rmettent </w:t>
      </w:r>
      <w:r w:rsidR="008C7334">
        <w:rPr>
          <w:lang w:val="fr-CA"/>
        </w:rPr>
        <w:t xml:space="preserve">de </w:t>
      </w:r>
      <w:r w:rsidR="005A5B96" w:rsidRPr="002A6C61">
        <w:rPr>
          <w:lang w:val="fr-CA"/>
        </w:rPr>
        <w:t>répondre à une gamme d</w:t>
      </w:r>
      <w:r w:rsidR="00746F85">
        <w:rPr>
          <w:lang w:val="fr-CA"/>
        </w:rPr>
        <w:t>’</w:t>
      </w:r>
      <w:r w:rsidR="005A5B96" w:rsidRPr="002A6C61">
        <w:rPr>
          <w:lang w:val="fr-CA"/>
        </w:rPr>
        <w:t>exigences d</w:t>
      </w:r>
      <w:r w:rsidR="00746F85">
        <w:rPr>
          <w:lang w:val="fr-CA"/>
        </w:rPr>
        <w:t>’</w:t>
      </w:r>
      <w:r w:rsidR="005A5B96" w:rsidRPr="002A6C61">
        <w:rPr>
          <w:lang w:val="fr-CA"/>
        </w:rPr>
        <w:t xml:space="preserve">accessibilité et </w:t>
      </w:r>
      <w:r w:rsidR="00274016">
        <w:rPr>
          <w:lang w:val="fr-CA"/>
        </w:rPr>
        <w:t>fa</w:t>
      </w:r>
      <w:r w:rsidR="00FF6A96">
        <w:rPr>
          <w:lang w:val="fr-CA"/>
        </w:rPr>
        <w:t>cilitent</w:t>
      </w:r>
      <w:r w:rsidR="00274016">
        <w:rPr>
          <w:lang w:val="fr-CA"/>
        </w:rPr>
        <w:t xml:space="preserve"> </w:t>
      </w:r>
      <w:r w:rsidR="005A5B96" w:rsidRPr="002A6C61">
        <w:rPr>
          <w:lang w:val="fr-CA"/>
        </w:rPr>
        <w:t xml:space="preserve">une navigation sécuritaire et </w:t>
      </w:r>
      <w:r w:rsidR="00274016">
        <w:rPr>
          <w:lang w:val="fr-CA"/>
        </w:rPr>
        <w:t>autonome</w:t>
      </w:r>
      <w:r w:rsidR="005A5B96" w:rsidRPr="002A6C61">
        <w:rPr>
          <w:lang w:val="fr-CA"/>
        </w:rPr>
        <w:t xml:space="preserve">. Les </w:t>
      </w:r>
      <w:r w:rsidR="00750E24">
        <w:rPr>
          <w:lang w:val="fr-CA"/>
        </w:rPr>
        <w:t>ITSM</w:t>
      </w:r>
      <w:r w:rsidR="005A5B96" w:rsidRPr="002A6C61">
        <w:rPr>
          <w:lang w:val="fr-CA"/>
        </w:rPr>
        <w:t xml:space="preserve"> permettent aussi aux utilisateurs de s</w:t>
      </w:r>
      <w:r w:rsidR="00746F85">
        <w:rPr>
          <w:lang w:val="fr-CA"/>
        </w:rPr>
        <w:t>’</w:t>
      </w:r>
      <w:r w:rsidR="005A5B96" w:rsidRPr="002A6C61">
        <w:rPr>
          <w:lang w:val="fr-CA"/>
        </w:rPr>
        <w:t>orienter efficacement aux intersections et aux passages pour piétons directionnels.</w:t>
      </w:r>
    </w:p>
    <w:p w14:paraId="23375753" w14:textId="4AEAA8BE" w:rsidR="00302091" w:rsidRPr="00CD6E6A" w:rsidRDefault="00CD6E6A" w:rsidP="00B71B0A">
      <w:pPr>
        <w:pStyle w:val="ListRef"/>
        <w:ind w:left="0" w:firstLine="0"/>
        <w:rPr>
          <w:lang w:val="fr-CA"/>
        </w:rPr>
      </w:pPr>
      <w:r>
        <w:rPr>
          <w:rStyle w:val="EmphasisUseSparingly"/>
          <w:lang w:val="fr-CA"/>
        </w:rPr>
        <w:lastRenderedPageBreak/>
        <w:t>Remarque</w:t>
      </w:r>
      <w:r w:rsidR="00302091" w:rsidRPr="002A6C61">
        <w:rPr>
          <w:rStyle w:val="EmphasisUseSparingly"/>
          <w:lang w:val="fr-CA"/>
        </w:rPr>
        <w:t xml:space="preserve"> 4</w:t>
      </w:r>
      <w:r w:rsidR="00F1547A">
        <w:rPr>
          <w:rStyle w:val="EmphasisUseSparingly"/>
          <w:lang w:val="fr-CA"/>
        </w:rPr>
        <w:t> </w:t>
      </w:r>
      <w:r w:rsidR="00302091" w:rsidRPr="002A6C61">
        <w:rPr>
          <w:rStyle w:val="EmphasisUseSparingly"/>
          <w:lang w:val="fr-CA"/>
        </w:rPr>
        <w:t xml:space="preserve">: </w:t>
      </w:r>
      <w:r w:rsidR="00302091" w:rsidRPr="002A6C61">
        <w:rPr>
          <w:lang w:val="fr-CA"/>
        </w:rPr>
        <w:t xml:space="preserve">Des surfaces adjacentes lisses facilitent la détection et la distinction des </w:t>
      </w:r>
      <w:r w:rsidR="00750E24">
        <w:rPr>
          <w:lang w:val="fr-CA"/>
        </w:rPr>
        <w:t>ITSM</w:t>
      </w:r>
      <w:r w:rsidR="00302091" w:rsidRPr="00CD6E6A">
        <w:rPr>
          <w:lang w:val="fr-CA"/>
        </w:rPr>
        <w:t xml:space="preserve"> par le pied ou la canne. </w:t>
      </w:r>
      <w:r w:rsidR="0005619C">
        <w:rPr>
          <w:lang w:val="fr-CA"/>
        </w:rPr>
        <w:t>Afin</w:t>
      </w:r>
      <w:r w:rsidR="00540ED0">
        <w:rPr>
          <w:lang w:val="fr-CA"/>
        </w:rPr>
        <w:t xml:space="preserve"> de</w:t>
      </w:r>
      <w:r w:rsidR="00302091" w:rsidRPr="00CD6E6A">
        <w:rPr>
          <w:lang w:val="fr-CA"/>
        </w:rPr>
        <w:t xml:space="preserve"> réduire la confusion, il faut minimiser les joints ou les </w:t>
      </w:r>
      <w:r w:rsidR="00AF1E7C">
        <w:rPr>
          <w:lang w:val="fr-CA"/>
        </w:rPr>
        <w:t xml:space="preserve">écarts </w:t>
      </w:r>
      <w:r w:rsidR="00786E57">
        <w:rPr>
          <w:lang w:val="fr-CA"/>
        </w:rPr>
        <w:t>pavé</w:t>
      </w:r>
      <w:r w:rsidR="00017DA7">
        <w:rPr>
          <w:lang w:val="fr-CA"/>
        </w:rPr>
        <w:t>s</w:t>
      </w:r>
      <w:r w:rsidR="00302091" w:rsidRPr="00CD6E6A">
        <w:rPr>
          <w:lang w:val="fr-CA"/>
        </w:rPr>
        <w:t xml:space="preserve">. </w:t>
      </w:r>
      <w:r w:rsidR="00C04E7D">
        <w:rPr>
          <w:lang w:val="fr-CA"/>
        </w:rPr>
        <w:t>En cas d’impossibilité</w:t>
      </w:r>
      <w:r w:rsidR="00302091" w:rsidRPr="00CD6E6A">
        <w:rPr>
          <w:lang w:val="fr-CA"/>
        </w:rPr>
        <w:t xml:space="preserve">, ces </w:t>
      </w:r>
      <w:r w:rsidR="00137250">
        <w:rPr>
          <w:lang w:val="fr-CA"/>
        </w:rPr>
        <w:t>écarts</w:t>
      </w:r>
      <w:r w:rsidR="00302091" w:rsidRPr="00CD6E6A">
        <w:rPr>
          <w:lang w:val="fr-CA"/>
        </w:rPr>
        <w:t xml:space="preserve"> devraient être limités en </w:t>
      </w:r>
      <w:r w:rsidR="001E529A">
        <w:rPr>
          <w:lang w:val="fr-CA"/>
        </w:rPr>
        <w:t xml:space="preserve">termes de </w:t>
      </w:r>
      <w:r w:rsidR="00302091" w:rsidRPr="00CD6E6A">
        <w:rPr>
          <w:lang w:val="fr-CA"/>
        </w:rPr>
        <w:t>couverture et gardés étroits et peu profonds afin d</w:t>
      </w:r>
      <w:r w:rsidR="00746F85">
        <w:rPr>
          <w:lang w:val="fr-CA"/>
        </w:rPr>
        <w:t>’</w:t>
      </w:r>
      <w:r w:rsidR="00302091" w:rsidRPr="00CD6E6A">
        <w:rPr>
          <w:lang w:val="fr-CA"/>
        </w:rPr>
        <w:t>éviter toute interférence avec les indices tactiles.</w:t>
      </w:r>
    </w:p>
    <w:p w14:paraId="7B9DEBB9" w14:textId="2CC53580" w:rsidR="00EE7404" w:rsidRDefault="006C45B2" w:rsidP="006C45B2">
      <w:pPr>
        <w:pStyle w:val="Heading4"/>
      </w:pPr>
      <w:proofErr w:type="spellStart"/>
      <w:r>
        <w:t>Détection</w:t>
      </w:r>
      <w:proofErr w:type="spellEnd"/>
      <w:r>
        <w:t xml:space="preserve"> </w:t>
      </w:r>
      <w:r w:rsidR="00750E24">
        <w:t>ITSM</w:t>
      </w:r>
    </w:p>
    <w:p w14:paraId="0AB29000" w14:textId="0509F1CC" w:rsidR="00B60181" w:rsidRPr="000D256E" w:rsidRDefault="00B60181" w:rsidP="00B60181">
      <w:r>
        <w:t xml:space="preserve">Les </w:t>
      </w:r>
      <w:r w:rsidR="00750E24">
        <w:t>ITSM</w:t>
      </w:r>
      <w:r>
        <w:t xml:space="preserve"> </w:t>
      </w:r>
      <w:proofErr w:type="spellStart"/>
      <w:proofErr w:type="gramStart"/>
      <w:r>
        <w:t>doivent</w:t>
      </w:r>
      <w:proofErr w:type="spellEnd"/>
      <w:r w:rsidR="00F1547A">
        <w:t> </w:t>
      </w:r>
      <w:r>
        <w:t>:</w:t>
      </w:r>
      <w:proofErr w:type="gramEnd"/>
    </w:p>
    <w:p w14:paraId="7F4AFB15" w14:textId="77777777" w:rsidR="00B60181" w:rsidRPr="001B1D76" w:rsidRDefault="00B60181" w:rsidP="003F66F0">
      <w:pPr>
        <w:pStyle w:val="ListRef"/>
        <w:numPr>
          <w:ilvl w:val="0"/>
          <w:numId w:val="28"/>
        </w:numPr>
        <w:rPr>
          <w:lang w:val="fr-CA"/>
        </w:rPr>
      </w:pPr>
      <w:proofErr w:type="gramStart"/>
      <w:r w:rsidRPr="001B1D76">
        <w:rPr>
          <w:lang w:val="fr-CA"/>
        </w:rPr>
        <w:t>assurer</w:t>
      </w:r>
      <w:proofErr w:type="gramEnd"/>
      <w:r w:rsidRPr="001B1D76">
        <w:rPr>
          <w:lang w:val="fr-CA"/>
        </w:rPr>
        <w:t xml:space="preserve"> la détection sous les pieds et avec une longue canne blanche;</w:t>
      </w:r>
    </w:p>
    <w:p w14:paraId="7A8F3F79" w14:textId="2AAC0AE7" w:rsidR="00B60181" w:rsidRPr="001B1D76" w:rsidRDefault="00B60181" w:rsidP="003F66F0">
      <w:pPr>
        <w:pStyle w:val="ListRef"/>
        <w:numPr>
          <w:ilvl w:val="0"/>
          <w:numId w:val="28"/>
        </w:numPr>
        <w:rPr>
          <w:lang w:val="fr-CA"/>
        </w:rPr>
      </w:pPr>
      <w:proofErr w:type="gramStart"/>
      <w:r w:rsidRPr="001B1D76">
        <w:rPr>
          <w:lang w:val="fr-CA"/>
        </w:rPr>
        <w:t>assurer</w:t>
      </w:r>
      <w:proofErr w:type="gramEnd"/>
      <w:r w:rsidRPr="001B1D76">
        <w:rPr>
          <w:lang w:val="fr-CA"/>
        </w:rPr>
        <w:t xml:space="preserve"> une distinction claire entre les indicateurs de direction et d</w:t>
      </w:r>
      <w:r w:rsidR="00746F85">
        <w:rPr>
          <w:lang w:val="fr-CA"/>
        </w:rPr>
        <w:t>’</w:t>
      </w:r>
      <w:r w:rsidRPr="001B1D76">
        <w:rPr>
          <w:lang w:val="fr-CA"/>
        </w:rPr>
        <w:t>a</w:t>
      </w:r>
      <w:r w:rsidR="00541055">
        <w:rPr>
          <w:lang w:val="fr-CA"/>
        </w:rPr>
        <w:t>vertissement</w:t>
      </w:r>
      <w:r w:rsidRPr="001B1D76">
        <w:rPr>
          <w:lang w:val="fr-CA"/>
        </w:rPr>
        <w:t xml:space="preserve"> pour les personnes qui en dépendent pour la navigation;</w:t>
      </w:r>
    </w:p>
    <w:p w14:paraId="6483060E" w14:textId="77777777" w:rsidR="00B60181" w:rsidRPr="001B1D76" w:rsidRDefault="00B60181" w:rsidP="003F66F0">
      <w:pPr>
        <w:pStyle w:val="ListRef"/>
        <w:numPr>
          <w:ilvl w:val="0"/>
          <w:numId w:val="28"/>
        </w:numPr>
        <w:rPr>
          <w:lang w:val="fr-CA"/>
        </w:rPr>
      </w:pPr>
      <w:proofErr w:type="gramStart"/>
      <w:r w:rsidRPr="001B1D76">
        <w:rPr>
          <w:lang w:val="fr-CA"/>
        </w:rPr>
        <w:t>être</w:t>
      </w:r>
      <w:proofErr w:type="gramEnd"/>
      <w:r w:rsidRPr="001B1D76">
        <w:rPr>
          <w:lang w:val="fr-CA"/>
        </w:rPr>
        <w:t xml:space="preserve"> placé à côté ou entouré de surfaces lisses pour soutenir une détection efficace; et</w:t>
      </w:r>
    </w:p>
    <w:p w14:paraId="271F5C2C" w14:textId="5BCA0DFC" w:rsidR="00BD7183" w:rsidRPr="001B1D76" w:rsidRDefault="00931792" w:rsidP="003F66F0">
      <w:pPr>
        <w:pStyle w:val="ListRef"/>
        <w:numPr>
          <w:ilvl w:val="0"/>
          <w:numId w:val="28"/>
        </w:numPr>
        <w:rPr>
          <w:rStyle w:val="EmphasisUseSparingly"/>
          <w:b w:val="0"/>
          <w:lang w:val="fr-CA"/>
        </w:rPr>
      </w:pPr>
      <w:proofErr w:type="gramStart"/>
      <w:r>
        <w:rPr>
          <w:lang w:val="fr-CA"/>
        </w:rPr>
        <w:t>avoir</w:t>
      </w:r>
      <w:proofErr w:type="gramEnd"/>
      <w:r>
        <w:rPr>
          <w:lang w:val="fr-CA"/>
        </w:rPr>
        <w:t xml:space="preserve"> </w:t>
      </w:r>
      <w:r w:rsidR="00B60181" w:rsidRPr="001B1D76">
        <w:rPr>
          <w:lang w:val="fr-CA"/>
        </w:rPr>
        <w:t>une surface antidérapante (voir</w:t>
      </w:r>
      <w:r w:rsidR="007F15EA">
        <w:rPr>
          <w:lang w:val="fr-CA"/>
        </w:rPr>
        <w:t xml:space="preserve"> l’Annexe </w:t>
      </w:r>
      <w:r w:rsidR="004C1A8E">
        <w:fldChar w:fldCharType="begin"/>
      </w:r>
      <w:r w:rsidR="004C1A8E" w:rsidRPr="007C0FBA">
        <w:rPr>
          <w:lang w:val="fr-CA"/>
        </w:rPr>
        <w:instrText>HYPERLINK \l "_Annex_A:_Slip"</w:instrText>
      </w:r>
      <w:r w:rsidR="004C1A8E">
        <w:fldChar w:fldCharType="separate"/>
      </w:r>
      <w:r w:rsidR="004C1A8E" w:rsidRPr="001B1D76">
        <w:rPr>
          <w:rStyle w:val="Hyperlink"/>
          <w:lang w:val="fr-CA"/>
        </w:rPr>
        <w:t>A</w:t>
      </w:r>
      <w:r w:rsidR="004C1A8E">
        <w:fldChar w:fldCharType="end"/>
      </w:r>
      <w:r w:rsidR="00B60181" w:rsidRPr="001B1D76">
        <w:rPr>
          <w:lang w:val="fr-CA"/>
        </w:rPr>
        <w:t>).</w:t>
      </w:r>
    </w:p>
    <w:p w14:paraId="2C8BC1FF" w14:textId="7E4DD342" w:rsidR="006C45B2" w:rsidRPr="000A5FFA" w:rsidRDefault="005B5D75" w:rsidP="006C45B2">
      <w:pPr>
        <w:rPr>
          <w:lang w:val="fr-CA"/>
        </w:rPr>
      </w:pPr>
      <w:r>
        <w:rPr>
          <w:rStyle w:val="EmphasisUseSparingly"/>
          <w:lang w:val="fr-CA"/>
        </w:rPr>
        <w:t>Remarque</w:t>
      </w:r>
      <w:r w:rsidR="008A2A67" w:rsidRPr="001B1D76">
        <w:rPr>
          <w:rStyle w:val="EmphasisUseSparingly"/>
          <w:lang w:val="fr-CA"/>
        </w:rPr>
        <w:t xml:space="preserve"> 1</w:t>
      </w:r>
      <w:r w:rsidR="00F1547A">
        <w:rPr>
          <w:rStyle w:val="EmphasisUseSparingly"/>
          <w:lang w:val="fr-CA"/>
        </w:rPr>
        <w:t> </w:t>
      </w:r>
      <w:r w:rsidR="008A2A67" w:rsidRPr="001B1D76">
        <w:rPr>
          <w:rStyle w:val="EmphasisUseSparingly"/>
          <w:lang w:val="fr-CA"/>
        </w:rPr>
        <w:t xml:space="preserve">: </w:t>
      </w:r>
      <w:r w:rsidR="00A95AD7" w:rsidRPr="001B1D76">
        <w:rPr>
          <w:lang w:val="fr-CA"/>
        </w:rPr>
        <w:t xml:space="preserve">Les différentes résistances au glissement entre le </w:t>
      </w:r>
      <w:r w:rsidR="00750E24">
        <w:rPr>
          <w:lang w:val="fr-CA"/>
        </w:rPr>
        <w:t>ITSM</w:t>
      </w:r>
      <w:r w:rsidR="00A95AD7" w:rsidRPr="000A5FFA">
        <w:rPr>
          <w:lang w:val="fr-CA"/>
        </w:rPr>
        <w:t xml:space="preserve"> et les surfaces adjacentes d</w:t>
      </w:r>
      <w:r w:rsidR="00F97E65">
        <w:rPr>
          <w:lang w:val="fr-CA"/>
        </w:rPr>
        <w:t>evraien</w:t>
      </w:r>
      <w:r w:rsidR="00A95AD7" w:rsidRPr="000A5FFA">
        <w:rPr>
          <w:lang w:val="fr-CA"/>
        </w:rPr>
        <w:t>t être évitées.</w:t>
      </w:r>
    </w:p>
    <w:p w14:paraId="2886CED4" w14:textId="66070AE8" w:rsidR="00A95AD7" w:rsidRPr="000A5FFA" w:rsidRDefault="001B1D76" w:rsidP="006C45B2">
      <w:pPr>
        <w:rPr>
          <w:lang w:val="fr-CA"/>
        </w:rPr>
      </w:pPr>
      <w:r>
        <w:rPr>
          <w:rStyle w:val="EmphasisUseSparingly"/>
          <w:lang w:val="fr-CA"/>
        </w:rPr>
        <w:t>Remarque</w:t>
      </w:r>
      <w:r w:rsidR="00A95AD7" w:rsidRPr="000A5FFA">
        <w:rPr>
          <w:rStyle w:val="EmphasisUseSparingly"/>
          <w:lang w:val="fr-CA"/>
        </w:rPr>
        <w:t xml:space="preserve"> 2</w:t>
      </w:r>
      <w:r w:rsidR="00F1547A">
        <w:rPr>
          <w:rStyle w:val="EmphasisUseSparingly"/>
          <w:lang w:val="fr-CA"/>
        </w:rPr>
        <w:t> </w:t>
      </w:r>
      <w:r w:rsidR="00A95AD7" w:rsidRPr="000A5FFA">
        <w:rPr>
          <w:rStyle w:val="EmphasisUseSparingly"/>
          <w:lang w:val="fr-CA"/>
        </w:rPr>
        <w:t xml:space="preserve">: </w:t>
      </w:r>
      <w:r w:rsidR="00A95AD7" w:rsidRPr="000A5FFA">
        <w:rPr>
          <w:lang w:val="fr-CA"/>
        </w:rPr>
        <w:t xml:space="preserve">Un schéma cohérent </w:t>
      </w:r>
      <w:r w:rsidR="001C1372">
        <w:rPr>
          <w:lang w:val="fr-CA"/>
        </w:rPr>
        <w:t>devrai</w:t>
      </w:r>
      <w:r w:rsidR="00A95AD7" w:rsidRPr="000A5FFA">
        <w:rPr>
          <w:lang w:val="fr-CA"/>
        </w:rPr>
        <w:t xml:space="preserve">t être maintenu pour chaque type de </w:t>
      </w:r>
      <w:r w:rsidR="00750E24">
        <w:rPr>
          <w:lang w:val="fr-CA"/>
        </w:rPr>
        <w:t>ITSM</w:t>
      </w:r>
      <w:r w:rsidR="00A95AD7" w:rsidRPr="000A5FFA">
        <w:rPr>
          <w:lang w:val="fr-CA"/>
        </w:rPr>
        <w:t xml:space="preserve"> afin d</w:t>
      </w:r>
      <w:r w:rsidR="00746F85">
        <w:rPr>
          <w:lang w:val="fr-CA"/>
        </w:rPr>
        <w:t>’</w:t>
      </w:r>
      <w:r w:rsidR="00A95AD7" w:rsidRPr="000A5FFA">
        <w:rPr>
          <w:lang w:val="fr-CA"/>
        </w:rPr>
        <w:t>éviter toute confusion.</w:t>
      </w:r>
    </w:p>
    <w:p w14:paraId="3B8C44A5" w14:textId="576D9344" w:rsidR="00AD396E" w:rsidRPr="000A5FFA" w:rsidRDefault="001B1D76" w:rsidP="006C45B2">
      <w:pPr>
        <w:rPr>
          <w:lang w:val="fr-CA"/>
        </w:rPr>
      </w:pPr>
      <w:r>
        <w:rPr>
          <w:rStyle w:val="EmphasisUseSparingly"/>
          <w:lang w:val="fr-CA"/>
        </w:rPr>
        <w:t>Remarque</w:t>
      </w:r>
      <w:r w:rsidR="00AD396E" w:rsidRPr="000A5FFA">
        <w:rPr>
          <w:rStyle w:val="EmphasisUseSparingly"/>
          <w:lang w:val="fr-CA"/>
        </w:rPr>
        <w:t xml:space="preserve"> 3</w:t>
      </w:r>
      <w:r w:rsidR="00F1547A">
        <w:rPr>
          <w:rStyle w:val="EmphasisUseSparingly"/>
          <w:lang w:val="fr-CA"/>
        </w:rPr>
        <w:t> </w:t>
      </w:r>
      <w:r w:rsidR="00AD396E" w:rsidRPr="000A5FFA">
        <w:rPr>
          <w:rStyle w:val="EmphasisUseSparingly"/>
          <w:lang w:val="fr-CA"/>
        </w:rPr>
        <w:t xml:space="preserve">: </w:t>
      </w:r>
      <w:r w:rsidR="007461FD" w:rsidRPr="000A5FFA">
        <w:rPr>
          <w:lang w:val="fr-CA"/>
        </w:rPr>
        <w:t>La résistance au glissement des</w:t>
      </w:r>
      <w:r w:rsidR="00750E24">
        <w:rPr>
          <w:lang w:val="fr-CA"/>
        </w:rPr>
        <w:t xml:space="preserve"> ITSM </w:t>
      </w:r>
      <w:r w:rsidR="00D576D7">
        <w:rPr>
          <w:lang w:val="fr-CA"/>
        </w:rPr>
        <w:t>devrai</w:t>
      </w:r>
      <w:r w:rsidR="007461FD" w:rsidRPr="000A5FFA">
        <w:rPr>
          <w:lang w:val="fr-CA"/>
        </w:rPr>
        <w:t>t également respecter les critères présentés pour la résistance au glissement d</w:t>
      </w:r>
      <w:r w:rsidR="00746F85">
        <w:rPr>
          <w:lang w:val="fr-CA"/>
        </w:rPr>
        <w:t>’</w:t>
      </w:r>
      <w:r w:rsidR="007461FD" w:rsidRPr="000A5FFA">
        <w:rPr>
          <w:lang w:val="fr-CA"/>
        </w:rPr>
        <w:t>autres surfaces dans la norme CAN-ASC</w:t>
      </w:r>
      <w:r w:rsidR="000423A3">
        <w:rPr>
          <w:lang w:val="fr-CA"/>
        </w:rPr>
        <w:t>-</w:t>
      </w:r>
      <w:r w:rsidR="007461FD" w:rsidRPr="000A5FFA">
        <w:rPr>
          <w:lang w:val="fr-CA"/>
        </w:rPr>
        <w:t>2.3</w:t>
      </w:r>
      <w:r w:rsidR="000423A3">
        <w:rPr>
          <w:lang w:val="fr-CA"/>
        </w:rPr>
        <w:t xml:space="preserve"> (projet de norme)</w:t>
      </w:r>
      <w:r w:rsidR="003178D2">
        <w:rPr>
          <w:lang w:val="fr-CA"/>
        </w:rPr>
        <w:t>.</w:t>
      </w:r>
    </w:p>
    <w:p w14:paraId="697B4D71" w14:textId="4AC18DC9" w:rsidR="00436348" w:rsidRDefault="00D42D7A" w:rsidP="00436348">
      <w:pPr>
        <w:pStyle w:val="Heading3"/>
      </w:pPr>
      <w:bookmarkStart w:id="596" w:name="_Toc219706208"/>
      <w:r>
        <w:lastRenderedPageBreak/>
        <w:t xml:space="preserve">Surfaces indicatrices </w:t>
      </w:r>
      <w:proofErr w:type="spellStart"/>
      <w:r>
        <w:t>d</w:t>
      </w:r>
      <w:r w:rsidR="00746F85">
        <w:t>’</w:t>
      </w:r>
      <w:r>
        <w:t>a</w:t>
      </w:r>
      <w:r w:rsidR="00541055">
        <w:t>vertissement</w:t>
      </w:r>
      <w:bookmarkEnd w:id="596"/>
      <w:proofErr w:type="spellEnd"/>
    </w:p>
    <w:p w14:paraId="48CECFBA" w14:textId="351175FB" w:rsidR="00D42D7A" w:rsidRDefault="00D42D7A" w:rsidP="00D42D7A">
      <w:pPr>
        <w:pStyle w:val="Heading4"/>
      </w:pPr>
      <w:proofErr w:type="spellStart"/>
      <w:r>
        <w:t>Général</w:t>
      </w:r>
      <w:proofErr w:type="spellEnd"/>
    </w:p>
    <w:p w14:paraId="75539180" w14:textId="255FAE73" w:rsidR="008D7C56" w:rsidRPr="002D0B3D" w:rsidRDefault="008D7C56" w:rsidP="008D7C56">
      <w:pPr>
        <w:rPr>
          <w:lang w:val="fr-CA"/>
        </w:rPr>
      </w:pPr>
      <w:r w:rsidRPr="002D0B3D">
        <w:rPr>
          <w:lang w:val="fr-CA"/>
        </w:rPr>
        <w:t>Les indicateurs d</w:t>
      </w:r>
      <w:r w:rsidR="00746F85">
        <w:rPr>
          <w:lang w:val="fr-CA"/>
        </w:rPr>
        <w:t>’</w:t>
      </w:r>
      <w:r w:rsidRPr="002D0B3D">
        <w:rPr>
          <w:lang w:val="fr-CA"/>
        </w:rPr>
        <w:t>a</w:t>
      </w:r>
      <w:r w:rsidR="00541055">
        <w:rPr>
          <w:lang w:val="fr-CA"/>
        </w:rPr>
        <w:t>vertissement</w:t>
      </w:r>
      <w:r w:rsidRPr="002D0B3D">
        <w:rPr>
          <w:lang w:val="fr-CA"/>
        </w:rPr>
        <w:t xml:space="preserve"> fournissent des informations de sécurité essentielles à tous ceux qui se trouvent dans des endroits potentiellement dangereux. Ils peuvent </w:t>
      </w:r>
      <w:r w:rsidR="0027455E">
        <w:rPr>
          <w:lang w:val="fr-CA"/>
        </w:rPr>
        <w:t>servir à indiquer les</w:t>
      </w:r>
      <w:r w:rsidRPr="002D0B3D">
        <w:rPr>
          <w:lang w:val="fr-CA"/>
        </w:rPr>
        <w:t xml:space="preserve"> </w:t>
      </w:r>
      <w:r w:rsidR="00A15975">
        <w:rPr>
          <w:lang w:val="fr-CA"/>
        </w:rPr>
        <w:t>traverses</w:t>
      </w:r>
      <w:r w:rsidR="00096A3A">
        <w:rPr>
          <w:lang w:val="fr-CA"/>
        </w:rPr>
        <w:t xml:space="preserve"> de</w:t>
      </w:r>
      <w:r w:rsidRPr="002D0B3D">
        <w:rPr>
          <w:lang w:val="fr-CA"/>
        </w:rPr>
        <w:t xml:space="preserve"> piéton</w:t>
      </w:r>
      <w:r w:rsidR="00096A3A">
        <w:rPr>
          <w:lang w:val="fr-CA"/>
        </w:rPr>
        <w:t>s</w:t>
      </w:r>
      <w:r w:rsidRPr="002D0B3D">
        <w:rPr>
          <w:lang w:val="fr-CA"/>
        </w:rPr>
        <w:t xml:space="preserve">, des </w:t>
      </w:r>
      <w:r w:rsidR="00434F7B">
        <w:rPr>
          <w:lang w:val="fr-CA"/>
        </w:rPr>
        <w:t>bordures</w:t>
      </w:r>
      <w:r w:rsidRPr="002D0B3D">
        <w:rPr>
          <w:lang w:val="fr-CA"/>
        </w:rPr>
        <w:t xml:space="preserve">, </w:t>
      </w:r>
      <w:r w:rsidR="003D1C3F">
        <w:rPr>
          <w:lang w:val="fr-CA"/>
        </w:rPr>
        <w:t>quai de gare</w:t>
      </w:r>
      <w:r w:rsidRPr="002D0B3D">
        <w:rPr>
          <w:lang w:val="fr-CA"/>
        </w:rPr>
        <w:t>, des escaliers, des rampes, des escaliers</w:t>
      </w:r>
      <w:r w:rsidR="003918B1">
        <w:rPr>
          <w:lang w:val="fr-CA"/>
        </w:rPr>
        <w:t xml:space="preserve"> </w:t>
      </w:r>
      <w:r w:rsidR="00CB48F6">
        <w:rPr>
          <w:lang w:val="fr-CA"/>
        </w:rPr>
        <w:t>mécaniques</w:t>
      </w:r>
      <w:r w:rsidRPr="002D0B3D">
        <w:rPr>
          <w:lang w:val="fr-CA"/>
        </w:rPr>
        <w:t xml:space="preserve">, des </w:t>
      </w:r>
      <w:r w:rsidR="003918B1">
        <w:rPr>
          <w:lang w:val="fr-CA"/>
        </w:rPr>
        <w:t>trottoir</w:t>
      </w:r>
      <w:r w:rsidR="00B63FF5">
        <w:rPr>
          <w:lang w:val="fr-CA"/>
        </w:rPr>
        <w:t>s</w:t>
      </w:r>
      <w:r w:rsidRPr="002D0B3D">
        <w:rPr>
          <w:lang w:val="fr-CA"/>
        </w:rPr>
        <w:t xml:space="preserve"> roulants et des ascenseurs </w:t>
      </w:r>
      <w:r w:rsidR="00B63FF5">
        <w:rPr>
          <w:lang w:val="fr-CA"/>
        </w:rPr>
        <w:t>afin</w:t>
      </w:r>
      <w:r w:rsidRPr="002D0B3D">
        <w:rPr>
          <w:lang w:val="fr-CA"/>
        </w:rPr>
        <w:t xml:space="preserve"> </w:t>
      </w:r>
      <w:r w:rsidR="00B63FF5">
        <w:rPr>
          <w:lang w:val="fr-CA"/>
        </w:rPr>
        <w:t>d’</w:t>
      </w:r>
      <w:r w:rsidRPr="002D0B3D">
        <w:rPr>
          <w:lang w:val="fr-CA"/>
        </w:rPr>
        <w:t>améliorer la sécurité et la sensibilisation.</w:t>
      </w:r>
    </w:p>
    <w:p w14:paraId="2201D2DD" w14:textId="1EC7C204" w:rsidR="008D7C56" w:rsidRPr="00597E70" w:rsidRDefault="008D7C56" w:rsidP="008D7C56">
      <w:pPr>
        <w:rPr>
          <w:lang w:val="fr-CA"/>
        </w:rPr>
      </w:pPr>
      <w:r w:rsidRPr="00597E70">
        <w:rPr>
          <w:lang w:val="fr-CA"/>
        </w:rPr>
        <w:t>Les indicateurs d</w:t>
      </w:r>
      <w:r w:rsidR="00746F85">
        <w:rPr>
          <w:lang w:val="fr-CA"/>
        </w:rPr>
        <w:t>’</w:t>
      </w:r>
      <w:r w:rsidRPr="00597E70">
        <w:rPr>
          <w:lang w:val="fr-CA"/>
        </w:rPr>
        <w:t>a</w:t>
      </w:r>
      <w:r w:rsidR="00541055" w:rsidRPr="00597E70">
        <w:rPr>
          <w:lang w:val="fr-CA"/>
        </w:rPr>
        <w:t>vertissement</w:t>
      </w:r>
      <w:r w:rsidRPr="00597E70">
        <w:rPr>
          <w:lang w:val="fr-CA"/>
        </w:rPr>
        <w:t xml:space="preserve"> doivent</w:t>
      </w:r>
      <w:r w:rsidR="00F1547A">
        <w:rPr>
          <w:lang w:val="fr-CA"/>
        </w:rPr>
        <w:t> </w:t>
      </w:r>
      <w:r w:rsidRPr="00597E70">
        <w:rPr>
          <w:lang w:val="fr-CA"/>
        </w:rPr>
        <w:t>:</w:t>
      </w:r>
    </w:p>
    <w:p w14:paraId="3B032966" w14:textId="4F6E9E94" w:rsidR="008D7C56" w:rsidRPr="002D0B3D" w:rsidRDefault="001C2CA8" w:rsidP="003F66F0">
      <w:pPr>
        <w:pStyle w:val="ListRef"/>
        <w:numPr>
          <w:ilvl w:val="0"/>
          <w:numId w:val="29"/>
        </w:numPr>
        <w:rPr>
          <w:lang w:val="fr-CA"/>
        </w:rPr>
      </w:pPr>
      <w:proofErr w:type="gramStart"/>
      <w:r>
        <w:rPr>
          <w:lang w:val="fr-CA"/>
        </w:rPr>
        <w:t>être</w:t>
      </w:r>
      <w:proofErr w:type="gramEnd"/>
      <w:r>
        <w:rPr>
          <w:lang w:val="fr-CA"/>
        </w:rPr>
        <w:t xml:space="preserve"> utilisés uniquement </w:t>
      </w:r>
      <w:r w:rsidR="008D7C56" w:rsidRPr="002D0B3D">
        <w:rPr>
          <w:lang w:val="fr-CA"/>
        </w:rPr>
        <w:t xml:space="preserve">pour identifier des </w:t>
      </w:r>
      <w:proofErr w:type="gramStart"/>
      <w:r w:rsidR="008D7C56" w:rsidRPr="002D0B3D">
        <w:rPr>
          <w:lang w:val="fr-CA"/>
        </w:rPr>
        <w:t>dangers potentiels</w:t>
      </w:r>
      <w:proofErr w:type="gramEnd"/>
      <w:r w:rsidR="008D7C56" w:rsidRPr="002D0B3D">
        <w:rPr>
          <w:lang w:val="fr-CA"/>
        </w:rPr>
        <w:t xml:space="preserve"> ou fournir des indications aux points d</w:t>
      </w:r>
      <w:r w:rsidR="00746F85">
        <w:rPr>
          <w:lang w:val="fr-CA"/>
        </w:rPr>
        <w:t>’</w:t>
      </w:r>
      <w:r w:rsidR="008D7C56" w:rsidRPr="002D0B3D">
        <w:rPr>
          <w:lang w:val="fr-CA"/>
        </w:rPr>
        <w:t>intersection d</w:t>
      </w:r>
      <w:r w:rsidR="00746F85">
        <w:rPr>
          <w:lang w:val="fr-CA"/>
        </w:rPr>
        <w:t>’</w:t>
      </w:r>
      <w:r w:rsidR="008D7C56" w:rsidRPr="002D0B3D">
        <w:rPr>
          <w:lang w:val="fr-CA"/>
        </w:rPr>
        <w:t xml:space="preserve">un </w:t>
      </w:r>
      <w:r>
        <w:rPr>
          <w:lang w:val="fr-CA"/>
        </w:rPr>
        <w:t>chemin</w:t>
      </w:r>
      <w:r w:rsidR="008D7C56" w:rsidRPr="002D0B3D">
        <w:rPr>
          <w:lang w:val="fr-CA"/>
        </w:rPr>
        <w:t>;</w:t>
      </w:r>
    </w:p>
    <w:p w14:paraId="62509814" w14:textId="05691584" w:rsidR="008D7C56" w:rsidRDefault="00121A48" w:rsidP="003F66F0">
      <w:pPr>
        <w:pStyle w:val="ListParagraph"/>
        <w:numPr>
          <w:ilvl w:val="0"/>
          <w:numId w:val="29"/>
        </w:numPr>
        <w:rPr>
          <w:lang w:val="fr-CA"/>
        </w:rPr>
      </w:pPr>
      <w:proofErr w:type="gramStart"/>
      <w:r>
        <w:rPr>
          <w:lang w:val="fr-CA"/>
        </w:rPr>
        <w:t>ê</w:t>
      </w:r>
      <w:r w:rsidRPr="00121A48">
        <w:rPr>
          <w:lang w:val="fr-CA"/>
        </w:rPr>
        <w:t>tre</w:t>
      </w:r>
      <w:proofErr w:type="gramEnd"/>
      <w:r w:rsidR="008D7C56" w:rsidRPr="002D0B3D">
        <w:rPr>
          <w:lang w:val="fr-CA"/>
        </w:rPr>
        <w:t xml:space="preserve"> standard</w:t>
      </w:r>
      <w:r w:rsidR="00CC668C">
        <w:rPr>
          <w:lang w:val="fr-CA"/>
        </w:rPr>
        <w:t>is</w:t>
      </w:r>
      <w:r w:rsidR="00CC668C">
        <w:rPr>
          <w:rFonts w:cs="Arial"/>
          <w:lang w:val="fr-CA"/>
        </w:rPr>
        <w:t>é</w:t>
      </w:r>
      <w:r w:rsidR="00CC668C">
        <w:rPr>
          <w:lang w:val="fr-CA"/>
        </w:rPr>
        <w:t>s</w:t>
      </w:r>
      <w:r w:rsidR="008D7C56" w:rsidRPr="002D0B3D">
        <w:rPr>
          <w:lang w:val="fr-CA"/>
        </w:rPr>
        <w:t xml:space="preserve"> </w:t>
      </w:r>
      <w:r w:rsidR="00CC668C">
        <w:rPr>
          <w:lang w:val="fr-CA"/>
        </w:rPr>
        <w:t>au sein</w:t>
      </w:r>
      <w:r w:rsidR="008D7C56" w:rsidRPr="002D0B3D">
        <w:rPr>
          <w:lang w:val="fr-CA"/>
        </w:rPr>
        <w:t xml:space="preserve"> d</w:t>
      </w:r>
      <w:r w:rsidR="00746F85">
        <w:rPr>
          <w:lang w:val="fr-CA"/>
        </w:rPr>
        <w:t>’</w:t>
      </w:r>
      <w:r w:rsidR="008D7C56" w:rsidRPr="002D0B3D">
        <w:rPr>
          <w:lang w:val="fr-CA"/>
        </w:rPr>
        <w:t>un bâtiment, d</w:t>
      </w:r>
      <w:r w:rsidR="00746F85">
        <w:rPr>
          <w:lang w:val="fr-CA"/>
        </w:rPr>
        <w:t>’</w:t>
      </w:r>
      <w:r w:rsidR="008D7C56" w:rsidRPr="002D0B3D">
        <w:rPr>
          <w:lang w:val="fr-CA"/>
        </w:rPr>
        <w:t>une installation, d</w:t>
      </w:r>
      <w:r w:rsidR="00746F85">
        <w:rPr>
          <w:lang w:val="fr-CA"/>
        </w:rPr>
        <w:t>’</w:t>
      </w:r>
      <w:r w:rsidR="008D7C56" w:rsidRPr="002D0B3D">
        <w:rPr>
          <w:lang w:val="fr-CA"/>
        </w:rPr>
        <w:t>un site ou d</w:t>
      </w:r>
      <w:r w:rsidR="00746F85">
        <w:rPr>
          <w:lang w:val="fr-CA"/>
        </w:rPr>
        <w:t>’</w:t>
      </w:r>
      <w:r w:rsidR="008D7C56" w:rsidRPr="002D0B3D">
        <w:rPr>
          <w:lang w:val="fr-CA"/>
        </w:rPr>
        <w:t>un complexe de bâtiments</w:t>
      </w:r>
      <w:r w:rsidR="000A0276">
        <w:rPr>
          <w:lang w:val="fr-CA"/>
        </w:rPr>
        <w:t>;</w:t>
      </w:r>
    </w:p>
    <w:p w14:paraId="14C36B63" w14:textId="77777777" w:rsidR="00732501" w:rsidRPr="00732501" w:rsidRDefault="00732501" w:rsidP="003F66F0">
      <w:pPr>
        <w:pStyle w:val="ListParagraph"/>
        <w:numPr>
          <w:ilvl w:val="0"/>
          <w:numId w:val="29"/>
        </w:numPr>
        <w:rPr>
          <w:lang w:val="fr-CA"/>
        </w:rPr>
      </w:pPr>
      <w:proofErr w:type="gramStart"/>
      <w:r w:rsidRPr="00732501">
        <w:rPr>
          <w:lang w:val="fr-CA"/>
        </w:rPr>
        <w:t>être</w:t>
      </w:r>
      <w:proofErr w:type="gramEnd"/>
      <w:r w:rsidRPr="00732501">
        <w:rPr>
          <w:lang w:val="fr-CA"/>
        </w:rPr>
        <w:t xml:space="preserve"> clairement différencié des indicateurs de direction; et</w:t>
      </w:r>
    </w:p>
    <w:p w14:paraId="548805EB" w14:textId="61B57D8C" w:rsidR="00096818" w:rsidRPr="00FE2FDA" w:rsidRDefault="00732501" w:rsidP="003F66F0">
      <w:pPr>
        <w:pStyle w:val="ListParagraph"/>
        <w:numPr>
          <w:ilvl w:val="0"/>
          <w:numId w:val="29"/>
        </w:numPr>
        <w:rPr>
          <w:lang w:val="fr-CA"/>
        </w:rPr>
      </w:pPr>
      <w:proofErr w:type="gramStart"/>
      <w:r w:rsidRPr="00732501">
        <w:rPr>
          <w:lang w:val="fr-CA"/>
        </w:rPr>
        <w:t>s</w:t>
      </w:r>
      <w:r w:rsidR="00746F85">
        <w:rPr>
          <w:lang w:val="fr-CA"/>
        </w:rPr>
        <w:t>’</w:t>
      </w:r>
      <w:r w:rsidRPr="00732501">
        <w:rPr>
          <w:lang w:val="fr-CA"/>
        </w:rPr>
        <w:t>étendre</w:t>
      </w:r>
      <w:proofErr w:type="gramEnd"/>
      <w:r w:rsidRPr="00732501">
        <w:rPr>
          <w:lang w:val="fr-CA"/>
        </w:rPr>
        <w:t xml:space="preserve"> sur toute la largeur de la voie de circulation et perpendiculairement à la direction de déplacement lors de l</w:t>
      </w:r>
      <w:r w:rsidR="00746F85">
        <w:rPr>
          <w:lang w:val="fr-CA"/>
        </w:rPr>
        <w:t>’</w:t>
      </w:r>
      <w:r w:rsidRPr="00732501">
        <w:rPr>
          <w:lang w:val="fr-CA"/>
        </w:rPr>
        <w:t>approche d</w:t>
      </w:r>
      <w:r w:rsidR="00746F85">
        <w:rPr>
          <w:lang w:val="fr-CA"/>
        </w:rPr>
        <w:t>’</w:t>
      </w:r>
      <w:r w:rsidRPr="00732501">
        <w:rPr>
          <w:lang w:val="fr-CA"/>
        </w:rPr>
        <w:t>un danger.</w:t>
      </w:r>
    </w:p>
    <w:p w14:paraId="4F4BBC15" w14:textId="4C2D60D2" w:rsidR="00D42D7A" w:rsidRDefault="002D0B3D" w:rsidP="008D7C56">
      <w:pPr>
        <w:rPr>
          <w:lang w:val="fr-CA"/>
        </w:rPr>
      </w:pPr>
      <w:r>
        <w:rPr>
          <w:rStyle w:val="EmphasisUseSparingly"/>
          <w:lang w:val="fr-CA"/>
        </w:rPr>
        <w:t>Remarque</w:t>
      </w:r>
      <w:r w:rsidR="00FE2FDA">
        <w:rPr>
          <w:rStyle w:val="EmphasisUseSparingly"/>
          <w:lang w:val="fr-CA"/>
        </w:rPr>
        <w:t xml:space="preserve"> 1</w:t>
      </w:r>
      <w:r w:rsidR="00F1547A">
        <w:rPr>
          <w:rStyle w:val="EmphasisUseSparingly"/>
          <w:lang w:val="fr-CA"/>
        </w:rPr>
        <w:t> </w:t>
      </w:r>
      <w:r w:rsidR="008D7C56" w:rsidRPr="002D0B3D">
        <w:rPr>
          <w:rStyle w:val="EmphasisUseSparingly"/>
          <w:lang w:val="fr-CA"/>
        </w:rPr>
        <w:t>:</w:t>
      </w:r>
      <w:r w:rsidR="008D7C56" w:rsidRPr="002D0B3D">
        <w:rPr>
          <w:lang w:val="fr-CA"/>
        </w:rPr>
        <w:t xml:space="preserve"> Il est important de fournir des informations de sécurité cohérentes afin que les gens reconnaissent les situations potentiellement dangereuses à n</w:t>
      </w:r>
      <w:r w:rsidR="00746F85">
        <w:rPr>
          <w:lang w:val="fr-CA"/>
        </w:rPr>
        <w:t>’</w:t>
      </w:r>
      <w:r w:rsidR="008D7C56" w:rsidRPr="002D0B3D">
        <w:rPr>
          <w:lang w:val="fr-CA"/>
        </w:rPr>
        <w:t>importe quel endroit.</w:t>
      </w:r>
    </w:p>
    <w:p w14:paraId="334A8825" w14:textId="7F535C96" w:rsidR="00036D56" w:rsidRPr="00E72F0A" w:rsidRDefault="00036D56" w:rsidP="00036D56">
      <w:pPr>
        <w:rPr>
          <w:lang w:val="fr-CA"/>
        </w:rPr>
      </w:pPr>
      <w:r>
        <w:rPr>
          <w:rStyle w:val="EmphasisUseSparingly"/>
          <w:lang w:val="fr-CA"/>
        </w:rPr>
        <w:t>Remarque</w:t>
      </w:r>
      <w:r w:rsidRPr="00E72F0A">
        <w:rPr>
          <w:rStyle w:val="EmphasisUseSparingly"/>
          <w:lang w:val="fr-CA"/>
        </w:rPr>
        <w:t xml:space="preserve"> </w:t>
      </w:r>
      <w:r>
        <w:rPr>
          <w:rStyle w:val="EmphasisUseSparingly"/>
          <w:lang w:val="fr-CA"/>
        </w:rPr>
        <w:t>2</w:t>
      </w:r>
      <w:r w:rsidR="00F1547A">
        <w:rPr>
          <w:rStyle w:val="EmphasisUseSparingly"/>
          <w:lang w:val="fr-CA"/>
        </w:rPr>
        <w:t> </w:t>
      </w:r>
      <w:r w:rsidRPr="00E72F0A">
        <w:rPr>
          <w:lang w:val="fr-CA"/>
        </w:rPr>
        <w:t>: Dans les environnements extérieurs, la fonte est un matériau durable qui ne crée pas d</w:t>
      </w:r>
      <w:r w:rsidR="00746F85">
        <w:rPr>
          <w:lang w:val="fr-CA"/>
        </w:rPr>
        <w:t>’</w:t>
      </w:r>
      <w:r w:rsidRPr="00E72F0A">
        <w:rPr>
          <w:lang w:val="fr-CA"/>
        </w:rPr>
        <w:t>éblouissement et offre du contraste.</w:t>
      </w:r>
    </w:p>
    <w:p w14:paraId="64774661" w14:textId="616C5915" w:rsidR="00036D56" w:rsidRPr="002D0B3D" w:rsidRDefault="00036D56" w:rsidP="008D7C56">
      <w:pPr>
        <w:rPr>
          <w:lang w:val="fr-CA"/>
        </w:rPr>
      </w:pPr>
      <w:r>
        <w:rPr>
          <w:rStyle w:val="EmphasisUseSparingly"/>
          <w:lang w:val="fr-CA"/>
        </w:rPr>
        <w:t>Remarque</w:t>
      </w:r>
      <w:r w:rsidRPr="00E72F0A">
        <w:rPr>
          <w:rStyle w:val="EmphasisUseSparingly"/>
          <w:lang w:val="fr-CA"/>
        </w:rPr>
        <w:t xml:space="preserve"> </w:t>
      </w:r>
      <w:r>
        <w:rPr>
          <w:rStyle w:val="EmphasisUseSparingly"/>
          <w:lang w:val="fr-CA"/>
        </w:rPr>
        <w:t>3</w:t>
      </w:r>
      <w:r w:rsidR="00F1547A">
        <w:rPr>
          <w:rStyle w:val="EmphasisUseSparingly"/>
          <w:lang w:val="fr-CA"/>
        </w:rPr>
        <w:t> </w:t>
      </w:r>
      <w:r w:rsidRPr="00E72F0A">
        <w:rPr>
          <w:lang w:val="fr-CA"/>
        </w:rPr>
        <w:t>: Dans les environnements intérieurs, l</w:t>
      </w:r>
      <w:r w:rsidR="00746F85">
        <w:rPr>
          <w:lang w:val="fr-CA"/>
        </w:rPr>
        <w:t>’</w:t>
      </w:r>
      <w:r w:rsidRPr="00E72F0A">
        <w:rPr>
          <w:lang w:val="fr-CA"/>
        </w:rPr>
        <w:t>utilisation de tapis, les changements de plancher ou l</w:t>
      </w:r>
      <w:r w:rsidR="00746F85">
        <w:rPr>
          <w:lang w:val="fr-CA"/>
        </w:rPr>
        <w:t>’</w:t>
      </w:r>
      <w:r w:rsidRPr="00E72F0A">
        <w:rPr>
          <w:lang w:val="fr-CA"/>
        </w:rPr>
        <w:t>utilisation de différents matériaux dans les corridors qui se croisent fournissent des informations utiles pour l</w:t>
      </w:r>
      <w:r w:rsidR="00746F85">
        <w:rPr>
          <w:lang w:val="fr-CA"/>
        </w:rPr>
        <w:t>’</w:t>
      </w:r>
      <w:r w:rsidRPr="00E72F0A">
        <w:rPr>
          <w:lang w:val="fr-CA"/>
        </w:rPr>
        <w:t>orientation.</w:t>
      </w:r>
    </w:p>
    <w:p w14:paraId="4E22A6C4" w14:textId="2705A1E4" w:rsidR="007760E2" w:rsidRDefault="007760E2" w:rsidP="007760E2">
      <w:pPr>
        <w:pStyle w:val="Heading4"/>
      </w:pPr>
      <w:r>
        <w:lastRenderedPageBreak/>
        <w:t>Emplacement</w:t>
      </w:r>
    </w:p>
    <w:p w14:paraId="2EAA3973" w14:textId="1CF9BD25" w:rsidR="00F76769" w:rsidRPr="00DA3BC3" w:rsidRDefault="00C97458" w:rsidP="00763B71">
      <w:pPr>
        <w:rPr>
          <w:lang w:val="fr-CA"/>
        </w:rPr>
      </w:pPr>
      <w:r w:rsidRPr="00DA3BC3">
        <w:rPr>
          <w:lang w:val="fr-CA"/>
        </w:rPr>
        <w:t>Sauf lorsque l</w:t>
      </w:r>
      <w:r w:rsidR="00746F85">
        <w:rPr>
          <w:lang w:val="fr-CA"/>
        </w:rPr>
        <w:t>’</w:t>
      </w:r>
      <w:r w:rsidRPr="00DA3BC3">
        <w:rPr>
          <w:lang w:val="fr-CA"/>
        </w:rPr>
        <w:t xml:space="preserve">emplacement est protégé par un </w:t>
      </w:r>
      <w:r w:rsidR="00B5593C">
        <w:rPr>
          <w:lang w:val="fr-CA"/>
        </w:rPr>
        <w:t>garde-corps</w:t>
      </w:r>
      <w:r w:rsidRPr="00DA3BC3">
        <w:rPr>
          <w:lang w:val="fr-CA"/>
        </w:rPr>
        <w:t xml:space="preserve"> conforme à l</w:t>
      </w:r>
      <w:r w:rsidR="00025D3E">
        <w:rPr>
          <w:lang w:val="fr-CA"/>
        </w:rPr>
        <w:t>’article</w:t>
      </w:r>
      <w:r w:rsidRPr="00DA3BC3">
        <w:rPr>
          <w:lang w:val="fr-CA"/>
        </w:rPr>
        <w:t xml:space="preserve"> 6.16.4 d</w:t>
      </w:r>
      <w:r w:rsidR="00DA3BC3">
        <w:rPr>
          <w:lang w:val="fr-CA"/>
        </w:rPr>
        <w:t>e</w:t>
      </w:r>
      <w:r w:rsidRPr="00DA3BC3">
        <w:rPr>
          <w:lang w:val="fr-CA"/>
        </w:rPr>
        <w:t xml:space="preserve"> CAN-ASC-2.1</w:t>
      </w:r>
      <w:r w:rsidR="009C6B4B">
        <w:rPr>
          <w:lang w:val="fr-CA"/>
        </w:rPr>
        <w:t xml:space="preserve"> (projet de norme)</w:t>
      </w:r>
      <w:r w:rsidRPr="00DA3BC3">
        <w:rPr>
          <w:lang w:val="fr-CA"/>
        </w:rPr>
        <w:t>, un indicateur d</w:t>
      </w:r>
      <w:r w:rsidR="00746F85">
        <w:rPr>
          <w:lang w:val="fr-CA"/>
        </w:rPr>
        <w:t>’</w:t>
      </w:r>
      <w:r w:rsidRPr="00DA3BC3">
        <w:rPr>
          <w:lang w:val="fr-CA"/>
        </w:rPr>
        <w:t>a</w:t>
      </w:r>
      <w:r w:rsidR="00541055">
        <w:rPr>
          <w:lang w:val="fr-CA"/>
        </w:rPr>
        <w:t>vertisseme</w:t>
      </w:r>
      <w:r w:rsidRPr="00DA3BC3">
        <w:rPr>
          <w:lang w:val="fr-CA"/>
        </w:rPr>
        <w:t>n</w:t>
      </w:r>
      <w:r w:rsidR="00541055">
        <w:rPr>
          <w:lang w:val="fr-CA"/>
        </w:rPr>
        <w:t>t</w:t>
      </w:r>
      <w:r w:rsidRPr="00DA3BC3">
        <w:rPr>
          <w:lang w:val="fr-CA"/>
        </w:rPr>
        <w:t xml:space="preserve"> doit se trouver aux emplacements suivants</w:t>
      </w:r>
      <w:r w:rsidR="00F1547A">
        <w:rPr>
          <w:lang w:val="fr-CA"/>
        </w:rPr>
        <w:t> </w:t>
      </w:r>
      <w:r w:rsidRPr="00DA3BC3">
        <w:rPr>
          <w:lang w:val="fr-CA"/>
        </w:rPr>
        <w:t>:</w:t>
      </w:r>
    </w:p>
    <w:p w14:paraId="536AB2B7" w14:textId="075F2210" w:rsidR="00F76769" w:rsidRPr="00F66488" w:rsidRDefault="00F76769" w:rsidP="003F66F0">
      <w:pPr>
        <w:pStyle w:val="ListParagraph"/>
        <w:numPr>
          <w:ilvl w:val="0"/>
          <w:numId w:val="30"/>
        </w:numPr>
      </w:pPr>
      <w:r w:rsidRPr="00F66488">
        <w:t xml:space="preserve">Escaliers et </w:t>
      </w:r>
      <w:proofErr w:type="spellStart"/>
      <w:proofErr w:type="gramStart"/>
      <w:r w:rsidRPr="00F66488">
        <w:t>rampes</w:t>
      </w:r>
      <w:proofErr w:type="spellEnd"/>
      <w:r w:rsidR="00F1547A">
        <w:t> </w:t>
      </w:r>
      <w:r w:rsidR="007626A6">
        <w:t>:</w:t>
      </w:r>
      <w:proofErr w:type="gramEnd"/>
    </w:p>
    <w:p w14:paraId="2C44C94C" w14:textId="3A0B6CE0" w:rsidR="00EB5BE7" w:rsidRDefault="00F76769" w:rsidP="003F66F0">
      <w:pPr>
        <w:pStyle w:val="ListParagraph"/>
        <w:numPr>
          <w:ilvl w:val="1"/>
          <w:numId w:val="30"/>
        </w:numPr>
        <w:rPr>
          <w:lang w:val="fr-CA"/>
        </w:rPr>
      </w:pPr>
      <w:proofErr w:type="gramStart"/>
      <w:r w:rsidRPr="00DA3BC3">
        <w:rPr>
          <w:lang w:val="fr-CA"/>
        </w:rPr>
        <w:t>au</w:t>
      </w:r>
      <w:proofErr w:type="gramEnd"/>
      <w:r w:rsidRPr="00DA3BC3">
        <w:rPr>
          <w:lang w:val="fr-CA"/>
        </w:rPr>
        <w:t xml:space="preserve"> sommet des escaliers</w:t>
      </w:r>
      <w:r w:rsidR="00EB5BE7">
        <w:rPr>
          <w:lang w:val="fr-CA"/>
        </w:rPr>
        <w:t xml:space="preserve"> et </w:t>
      </w:r>
      <w:r w:rsidRPr="00DA3BC3">
        <w:rPr>
          <w:lang w:val="fr-CA"/>
        </w:rPr>
        <w:t>des rampes</w:t>
      </w:r>
      <w:r w:rsidR="00A90B36">
        <w:rPr>
          <w:lang w:val="fr-CA"/>
        </w:rPr>
        <w:t>;</w:t>
      </w:r>
    </w:p>
    <w:p w14:paraId="3F56EA53" w14:textId="1B26A65A" w:rsidR="00F76769" w:rsidRPr="00DA3BC3" w:rsidRDefault="00F76769" w:rsidP="003F66F0">
      <w:pPr>
        <w:pStyle w:val="ListParagraph"/>
        <w:numPr>
          <w:ilvl w:val="1"/>
          <w:numId w:val="30"/>
        </w:numPr>
        <w:rPr>
          <w:lang w:val="fr-CA"/>
        </w:rPr>
      </w:pPr>
      <w:proofErr w:type="gramStart"/>
      <w:r w:rsidRPr="00DA3BC3">
        <w:rPr>
          <w:lang w:val="fr-CA"/>
        </w:rPr>
        <w:t>aux</w:t>
      </w:r>
      <w:proofErr w:type="gramEnd"/>
      <w:r w:rsidRPr="00DA3BC3">
        <w:rPr>
          <w:lang w:val="fr-CA"/>
        </w:rPr>
        <w:t xml:space="preserve"> paliers où il y a une porte menant au palier;</w:t>
      </w:r>
      <w:r w:rsidR="00EB5BE7">
        <w:rPr>
          <w:lang w:val="fr-CA"/>
        </w:rPr>
        <w:t xml:space="preserve"> et</w:t>
      </w:r>
    </w:p>
    <w:p w14:paraId="046855D0" w14:textId="172A0A21" w:rsidR="00F76769" w:rsidRPr="00DA3BC3" w:rsidRDefault="00F76769" w:rsidP="003F66F0">
      <w:pPr>
        <w:pStyle w:val="ListParagraph"/>
        <w:numPr>
          <w:ilvl w:val="1"/>
          <w:numId w:val="30"/>
        </w:numPr>
        <w:rPr>
          <w:lang w:val="fr-CA"/>
        </w:rPr>
      </w:pPr>
      <w:proofErr w:type="gramStart"/>
      <w:r w:rsidRPr="00DA3BC3">
        <w:rPr>
          <w:lang w:val="fr-CA"/>
        </w:rPr>
        <w:t>aux</w:t>
      </w:r>
      <w:proofErr w:type="gramEnd"/>
      <w:r w:rsidRPr="00DA3BC3">
        <w:rPr>
          <w:lang w:val="fr-CA"/>
        </w:rPr>
        <w:t xml:space="preserve"> paliers de plus de 2100</w:t>
      </w:r>
      <w:r w:rsidR="00FA4FCB">
        <w:rPr>
          <w:lang w:val="fr-CA"/>
        </w:rPr>
        <w:t> </w:t>
      </w:r>
      <w:r w:rsidRPr="00DA3BC3">
        <w:rPr>
          <w:lang w:val="fr-CA"/>
        </w:rPr>
        <w:t>mm où il n</w:t>
      </w:r>
      <w:r w:rsidR="00746F85">
        <w:rPr>
          <w:lang w:val="fr-CA"/>
        </w:rPr>
        <w:t>’</w:t>
      </w:r>
      <w:r w:rsidRPr="00DA3BC3">
        <w:rPr>
          <w:lang w:val="fr-CA"/>
        </w:rPr>
        <w:t xml:space="preserve">y a pas de </w:t>
      </w:r>
      <w:r w:rsidR="000C7746">
        <w:rPr>
          <w:lang w:val="fr-CA"/>
        </w:rPr>
        <w:t>mains courante</w:t>
      </w:r>
      <w:r w:rsidR="001973FA">
        <w:rPr>
          <w:lang w:val="fr-CA"/>
        </w:rPr>
        <w:t>s</w:t>
      </w:r>
      <w:r w:rsidRPr="00DA3BC3">
        <w:rPr>
          <w:lang w:val="fr-CA"/>
        </w:rPr>
        <w:t xml:space="preserve"> continues</w:t>
      </w:r>
      <w:r w:rsidR="005366EA">
        <w:rPr>
          <w:lang w:val="fr-CA"/>
        </w:rPr>
        <w:t>.</w:t>
      </w:r>
    </w:p>
    <w:p w14:paraId="31B0B001" w14:textId="1223E367" w:rsidR="00F76769" w:rsidRPr="00877353" w:rsidRDefault="00F76769" w:rsidP="00F76769">
      <w:pPr>
        <w:rPr>
          <w:lang w:val="fr-CA"/>
        </w:rPr>
      </w:pPr>
      <w:r w:rsidRPr="00877353">
        <w:rPr>
          <w:rStyle w:val="EmphasisUseSparingly"/>
          <w:lang w:val="fr-CA"/>
        </w:rPr>
        <w:t>Remarque</w:t>
      </w:r>
      <w:r w:rsidR="00F1547A">
        <w:rPr>
          <w:rStyle w:val="EmphasisUseSparingly"/>
          <w:lang w:val="fr-CA"/>
        </w:rPr>
        <w:t> </w:t>
      </w:r>
      <w:r w:rsidRPr="00877353">
        <w:rPr>
          <w:rStyle w:val="EmphasisUseSparingly"/>
          <w:lang w:val="fr-CA"/>
        </w:rPr>
        <w:t xml:space="preserve">: </w:t>
      </w:r>
      <w:r w:rsidRPr="00877353">
        <w:rPr>
          <w:lang w:val="fr-CA"/>
        </w:rPr>
        <w:t>Lorsqu</w:t>
      </w:r>
      <w:r w:rsidR="00746F85">
        <w:rPr>
          <w:lang w:val="fr-CA"/>
        </w:rPr>
        <w:t>’</w:t>
      </w:r>
      <w:r w:rsidRPr="00877353">
        <w:rPr>
          <w:lang w:val="fr-CA"/>
        </w:rPr>
        <w:t>il est installé au bas d</w:t>
      </w:r>
      <w:r w:rsidR="00746F85">
        <w:rPr>
          <w:lang w:val="fr-CA"/>
        </w:rPr>
        <w:t>’</w:t>
      </w:r>
      <w:r w:rsidRPr="00877353">
        <w:rPr>
          <w:lang w:val="fr-CA"/>
        </w:rPr>
        <w:t>une rampe,</w:t>
      </w:r>
      <w:r w:rsidR="00832CE8">
        <w:rPr>
          <w:lang w:val="fr-CA"/>
        </w:rPr>
        <w:t xml:space="preserve"> veiller</w:t>
      </w:r>
      <w:r w:rsidRPr="00877353">
        <w:rPr>
          <w:lang w:val="fr-CA"/>
        </w:rPr>
        <w:t xml:space="preserve"> qu</w:t>
      </w:r>
      <w:r w:rsidR="00746F85">
        <w:rPr>
          <w:lang w:val="fr-CA"/>
        </w:rPr>
        <w:t>’</w:t>
      </w:r>
      <w:r w:rsidRPr="00877353">
        <w:rPr>
          <w:lang w:val="fr-CA"/>
        </w:rPr>
        <w:t xml:space="preserve">un recul approprié </w:t>
      </w:r>
      <w:r w:rsidR="00DD2339">
        <w:rPr>
          <w:lang w:val="fr-CA"/>
        </w:rPr>
        <w:t>soi</w:t>
      </w:r>
      <w:r w:rsidRPr="00877353">
        <w:rPr>
          <w:lang w:val="fr-CA"/>
        </w:rPr>
        <w:t>t utilisé afin que les utilisateurs d</w:t>
      </w:r>
      <w:r w:rsidR="00DD2339">
        <w:rPr>
          <w:lang w:val="fr-CA"/>
        </w:rPr>
        <w:t>’</w:t>
      </w:r>
      <w:r w:rsidR="006360AF">
        <w:rPr>
          <w:lang w:val="fr-CA"/>
        </w:rPr>
        <w:t>appareils</w:t>
      </w:r>
      <w:r w:rsidRPr="00877353">
        <w:rPr>
          <w:lang w:val="fr-CA"/>
        </w:rPr>
        <w:t xml:space="preserve"> de mobilité à roues ne soient pas déstabilisés au bas de la rampe, mais la détection de la rampe demeure possible pour les autres utilisateurs nécessitant cet avertissement.</w:t>
      </w:r>
    </w:p>
    <w:p w14:paraId="625CECFB" w14:textId="05D795B4" w:rsidR="00F76769" w:rsidRDefault="00F76769" w:rsidP="003F66F0">
      <w:pPr>
        <w:pStyle w:val="ListParagraph"/>
        <w:numPr>
          <w:ilvl w:val="0"/>
          <w:numId w:val="30"/>
        </w:numPr>
      </w:pPr>
      <w:r>
        <w:t xml:space="preserve">Dans les </w:t>
      </w:r>
      <w:proofErr w:type="spellStart"/>
      <w:r>
        <w:t>espaces</w:t>
      </w:r>
      <w:proofErr w:type="spellEnd"/>
      <w:r>
        <w:t xml:space="preserve"> </w:t>
      </w:r>
      <w:proofErr w:type="spellStart"/>
      <w:proofErr w:type="gramStart"/>
      <w:r w:rsidR="00C459E5">
        <w:t>extérieurs</w:t>
      </w:r>
      <w:proofErr w:type="spellEnd"/>
      <w:r w:rsidR="00F1547A">
        <w:t> </w:t>
      </w:r>
      <w:r w:rsidR="00C459E5">
        <w:t>:</w:t>
      </w:r>
      <w:proofErr w:type="gramEnd"/>
    </w:p>
    <w:p w14:paraId="21FC3220" w14:textId="41E1B84F" w:rsidR="00F76769" w:rsidRPr="008727CB" w:rsidRDefault="00F76769" w:rsidP="003F66F0">
      <w:pPr>
        <w:pStyle w:val="ListParagraph"/>
        <w:numPr>
          <w:ilvl w:val="1"/>
          <w:numId w:val="30"/>
        </w:numPr>
        <w:rPr>
          <w:lang w:val="fr-CA"/>
        </w:rPr>
      </w:pPr>
      <w:proofErr w:type="gramStart"/>
      <w:r w:rsidRPr="008727CB">
        <w:rPr>
          <w:lang w:val="fr-CA"/>
        </w:rPr>
        <w:t>être</w:t>
      </w:r>
      <w:proofErr w:type="gramEnd"/>
      <w:r w:rsidRPr="008727CB">
        <w:rPr>
          <w:lang w:val="fr-CA"/>
        </w:rPr>
        <w:t xml:space="preserve"> continue sur la largeur de l</w:t>
      </w:r>
      <w:r w:rsidR="00C05CE8">
        <w:rPr>
          <w:lang w:val="fr-CA"/>
        </w:rPr>
        <w:t>a marche,</w:t>
      </w:r>
      <w:r w:rsidRPr="008727CB">
        <w:rPr>
          <w:lang w:val="fr-CA"/>
        </w:rPr>
        <w:t xml:space="preserve"> avec un écart maximal de 75</w:t>
      </w:r>
      <w:r w:rsidR="00FA4FCB">
        <w:rPr>
          <w:lang w:val="fr-CA"/>
        </w:rPr>
        <w:t> </w:t>
      </w:r>
      <w:r w:rsidRPr="008727CB">
        <w:rPr>
          <w:lang w:val="fr-CA"/>
        </w:rPr>
        <w:t>mm à l</w:t>
      </w:r>
      <w:r w:rsidR="00746F85">
        <w:rPr>
          <w:lang w:val="fr-CA"/>
        </w:rPr>
        <w:t>’</w:t>
      </w:r>
      <w:r w:rsidRPr="008727CB">
        <w:rPr>
          <w:lang w:val="fr-CA"/>
        </w:rPr>
        <w:t xml:space="preserve">extrémité de la </w:t>
      </w:r>
      <w:r w:rsidR="00C05CE8">
        <w:rPr>
          <w:lang w:val="fr-CA"/>
        </w:rPr>
        <w:t>marche</w:t>
      </w:r>
      <w:r w:rsidRPr="008727CB">
        <w:rPr>
          <w:lang w:val="fr-CA"/>
        </w:rPr>
        <w:t>;</w:t>
      </w:r>
    </w:p>
    <w:p w14:paraId="631BC067" w14:textId="688DA951" w:rsidR="00F76769" w:rsidRPr="008727CB" w:rsidRDefault="00F76769" w:rsidP="003F66F0">
      <w:pPr>
        <w:pStyle w:val="ListParagraph"/>
        <w:numPr>
          <w:ilvl w:val="1"/>
          <w:numId w:val="30"/>
        </w:numPr>
        <w:rPr>
          <w:lang w:val="fr-CA"/>
        </w:rPr>
      </w:pPr>
      <w:proofErr w:type="gramStart"/>
      <w:r w:rsidRPr="008727CB">
        <w:rPr>
          <w:lang w:val="fr-CA"/>
        </w:rPr>
        <w:t>avoir</w:t>
      </w:r>
      <w:proofErr w:type="gramEnd"/>
      <w:r w:rsidRPr="008727CB">
        <w:rPr>
          <w:lang w:val="fr-CA"/>
        </w:rPr>
        <w:t xml:space="preserve"> une profondeur entre 600</w:t>
      </w:r>
      <w:r w:rsidR="00FA4FCB">
        <w:rPr>
          <w:lang w:val="fr-CA"/>
        </w:rPr>
        <w:t> </w:t>
      </w:r>
      <w:r w:rsidRPr="008727CB">
        <w:rPr>
          <w:lang w:val="fr-CA"/>
        </w:rPr>
        <w:t>mm et 650</w:t>
      </w:r>
      <w:r w:rsidR="00FA4FCB">
        <w:rPr>
          <w:lang w:val="fr-CA"/>
        </w:rPr>
        <w:t> </w:t>
      </w:r>
      <w:r w:rsidRPr="008727CB">
        <w:rPr>
          <w:lang w:val="fr-CA"/>
        </w:rPr>
        <w:t>mm, commençant par une profondeur de marche à partir du bord de l</w:t>
      </w:r>
      <w:r w:rsidR="00746F85">
        <w:rPr>
          <w:lang w:val="fr-CA"/>
        </w:rPr>
        <w:t>’</w:t>
      </w:r>
      <w:r w:rsidRPr="008727CB">
        <w:rPr>
          <w:lang w:val="fr-CA"/>
        </w:rPr>
        <w:t>escalier; et</w:t>
      </w:r>
    </w:p>
    <w:p w14:paraId="3AB113E6" w14:textId="442E48CC" w:rsidR="00F76769" w:rsidRDefault="00F76769" w:rsidP="003F66F0">
      <w:pPr>
        <w:pStyle w:val="ListParagraph"/>
        <w:numPr>
          <w:ilvl w:val="1"/>
          <w:numId w:val="30"/>
        </w:numPr>
      </w:pPr>
      <w:proofErr w:type="spellStart"/>
      <w:r w:rsidRPr="00DC657F">
        <w:t>être</w:t>
      </w:r>
      <w:proofErr w:type="spellEnd"/>
      <w:r w:rsidRPr="00DC657F">
        <w:t xml:space="preserve"> </w:t>
      </w:r>
      <w:proofErr w:type="spellStart"/>
      <w:r w:rsidRPr="00DC657F">
        <w:t>offert</w:t>
      </w:r>
      <w:proofErr w:type="spellEnd"/>
      <w:r w:rsidRPr="00DC657F">
        <w:t xml:space="preserve"> </w:t>
      </w:r>
      <w:proofErr w:type="gramStart"/>
      <w:r w:rsidRPr="00DC657F">
        <w:t>à</w:t>
      </w:r>
      <w:r w:rsidR="00F1547A">
        <w:t> </w:t>
      </w:r>
      <w:r w:rsidRPr="00DC657F">
        <w:t>:</w:t>
      </w:r>
      <w:proofErr w:type="gramEnd"/>
    </w:p>
    <w:p w14:paraId="36552849" w14:textId="60275772" w:rsidR="00F76769" w:rsidRPr="008727CB" w:rsidRDefault="00F76769" w:rsidP="003F66F0">
      <w:pPr>
        <w:pStyle w:val="ListParagraph"/>
        <w:numPr>
          <w:ilvl w:val="2"/>
          <w:numId w:val="30"/>
        </w:numPr>
        <w:rPr>
          <w:lang w:val="fr-CA"/>
        </w:rPr>
      </w:pPr>
      <w:proofErr w:type="gramStart"/>
      <w:r w:rsidRPr="008727CB">
        <w:rPr>
          <w:lang w:val="fr-CA"/>
        </w:rPr>
        <w:t>chaque</w:t>
      </w:r>
      <w:proofErr w:type="gramEnd"/>
      <w:r w:rsidRPr="008727CB">
        <w:rPr>
          <w:lang w:val="fr-CA"/>
        </w:rPr>
        <w:t xml:space="preserve"> palier intermédiaire ayant une entrée dans un système d</w:t>
      </w:r>
      <w:r w:rsidR="00746F85">
        <w:rPr>
          <w:lang w:val="fr-CA"/>
        </w:rPr>
        <w:t>’</w:t>
      </w:r>
      <w:r w:rsidRPr="008727CB">
        <w:rPr>
          <w:lang w:val="fr-CA"/>
        </w:rPr>
        <w:t>escaliers</w:t>
      </w:r>
      <w:r w:rsidR="0081062F">
        <w:rPr>
          <w:lang w:val="fr-CA"/>
        </w:rPr>
        <w:t>;</w:t>
      </w:r>
    </w:p>
    <w:p w14:paraId="0F4624D4" w14:textId="59F62CA1" w:rsidR="00BE013F" w:rsidRDefault="00F15AC7" w:rsidP="003F66F0">
      <w:pPr>
        <w:pStyle w:val="ListParagraph"/>
        <w:numPr>
          <w:ilvl w:val="2"/>
          <w:numId w:val="30"/>
        </w:numPr>
        <w:rPr>
          <w:lang w:val="fr-CA"/>
        </w:rPr>
      </w:pPr>
      <w:proofErr w:type="gramStart"/>
      <w:r>
        <w:rPr>
          <w:lang w:val="fr-CA"/>
        </w:rPr>
        <w:t>o</w:t>
      </w:r>
      <w:r w:rsidR="00F76769" w:rsidRPr="008727CB">
        <w:rPr>
          <w:lang w:val="fr-CA"/>
        </w:rPr>
        <w:t>ù</w:t>
      </w:r>
      <w:proofErr w:type="gramEnd"/>
      <w:r w:rsidR="00F76769" w:rsidRPr="008727CB">
        <w:rPr>
          <w:lang w:val="fr-CA"/>
        </w:rPr>
        <w:t xml:space="preserve"> le schéma régulier de l</w:t>
      </w:r>
      <w:r w:rsidR="00746F85">
        <w:rPr>
          <w:lang w:val="fr-CA"/>
        </w:rPr>
        <w:t>’</w:t>
      </w:r>
      <w:r w:rsidR="00F76769" w:rsidRPr="008727CB">
        <w:rPr>
          <w:lang w:val="fr-CA"/>
        </w:rPr>
        <w:t>escalier est interrompu</w:t>
      </w:r>
      <w:r w:rsidR="00BE013F">
        <w:rPr>
          <w:lang w:val="fr-CA"/>
        </w:rPr>
        <w:t>; et</w:t>
      </w:r>
    </w:p>
    <w:p w14:paraId="7BF7482A" w14:textId="77C3F410" w:rsidR="00EF5F7B" w:rsidRDefault="00BE013F" w:rsidP="003F66F0">
      <w:pPr>
        <w:pStyle w:val="ListParagraph"/>
        <w:numPr>
          <w:ilvl w:val="2"/>
          <w:numId w:val="30"/>
        </w:numPr>
        <w:rPr>
          <w:lang w:val="fr-CA"/>
        </w:rPr>
      </w:pPr>
      <w:proofErr w:type="gramStart"/>
      <w:r>
        <w:rPr>
          <w:lang w:val="fr-CA"/>
        </w:rPr>
        <w:t>o</w:t>
      </w:r>
      <w:r w:rsidRPr="008727CB">
        <w:rPr>
          <w:lang w:val="fr-CA"/>
        </w:rPr>
        <w:t>ù</w:t>
      </w:r>
      <w:proofErr w:type="gramEnd"/>
      <w:r w:rsidR="00F76769" w:rsidRPr="008727CB">
        <w:rPr>
          <w:lang w:val="fr-CA"/>
        </w:rPr>
        <w:t xml:space="preserve"> la</w:t>
      </w:r>
      <w:r w:rsidR="00E15E21">
        <w:rPr>
          <w:lang w:val="fr-CA"/>
        </w:rPr>
        <w:t xml:space="preserve"> </w:t>
      </w:r>
      <w:r w:rsidR="004F0182">
        <w:rPr>
          <w:lang w:val="fr-CA"/>
        </w:rPr>
        <w:t>piste</w:t>
      </w:r>
      <w:r w:rsidR="00F76769" w:rsidRPr="008727CB">
        <w:rPr>
          <w:lang w:val="fr-CA"/>
        </w:rPr>
        <w:t xml:space="preserve"> du palier dépasse 2100</w:t>
      </w:r>
      <w:r w:rsidR="00FA4FCB">
        <w:rPr>
          <w:lang w:val="fr-CA"/>
        </w:rPr>
        <w:t> </w:t>
      </w:r>
      <w:r w:rsidR="00F76769" w:rsidRPr="008727CB">
        <w:rPr>
          <w:lang w:val="fr-CA"/>
        </w:rPr>
        <w:t xml:space="preserve">mm de longueur et ne comporte pas de </w:t>
      </w:r>
      <w:r w:rsidR="00F972FB">
        <w:rPr>
          <w:lang w:val="fr-CA"/>
        </w:rPr>
        <w:t>main courante</w:t>
      </w:r>
      <w:r w:rsidR="00F76769" w:rsidRPr="008727CB">
        <w:rPr>
          <w:lang w:val="fr-CA"/>
        </w:rPr>
        <w:t xml:space="preserve"> continue</w:t>
      </w:r>
      <w:r w:rsidR="003A3B83">
        <w:rPr>
          <w:lang w:val="fr-CA"/>
        </w:rPr>
        <w:t>.</w:t>
      </w:r>
    </w:p>
    <w:p w14:paraId="55EE43C6" w14:textId="77777777" w:rsidR="00EF5F7B" w:rsidRDefault="00EF5F7B">
      <w:pPr>
        <w:keepLines w:val="0"/>
        <w:spacing w:before="0" w:beforeAutospacing="0" w:line="259" w:lineRule="auto"/>
        <w:rPr>
          <w:lang w:val="fr-CA"/>
        </w:rPr>
      </w:pPr>
      <w:r>
        <w:rPr>
          <w:lang w:val="fr-CA"/>
        </w:rPr>
        <w:br w:type="page"/>
      </w:r>
    </w:p>
    <w:p w14:paraId="589876AE" w14:textId="5834F8FD" w:rsidR="00F76769" w:rsidRPr="008727CB" w:rsidRDefault="00F76769" w:rsidP="003F66F0">
      <w:pPr>
        <w:pStyle w:val="ListRef"/>
        <w:numPr>
          <w:ilvl w:val="0"/>
          <w:numId w:val="30"/>
        </w:numPr>
        <w:rPr>
          <w:lang w:val="fr-CA"/>
        </w:rPr>
      </w:pPr>
      <w:r w:rsidRPr="008727CB">
        <w:rPr>
          <w:lang w:val="fr-CA"/>
        </w:rPr>
        <w:lastRenderedPageBreak/>
        <w:t>Bord de débarquement pavé et non protégé</w:t>
      </w:r>
      <w:r w:rsidR="001F0568">
        <w:rPr>
          <w:lang w:val="fr-CA"/>
        </w:rPr>
        <w:t xml:space="preserve"> </w:t>
      </w:r>
      <w:r w:rsidRPr="008727CB">
        <w:rPr>
          <w:lang w:val="fr-CA"/>
        </w:rPr>
        <w:t>où</w:t>
      </w:r>
      <w:r w:rsidR="00F1547A">
        <w:rPr>
          <w:lang w:val="fr-CA"/>
        </w:rPr>
        <w:t> </w:t>
      </w:r>
      <w:r w:rsidRPr="008727CB">
        <w:rPr>
          <w:lang w:val="fr-CA"/>
        </w:rPr>
        <w:t>:</w:t>
      </w:r>
    </w:p>
    <w:p w14:paraId="6C0DE220" w14:textId="26BABBB9" w:rsidR="00F76769" w:rsidRPr="008727CB" w:rsidRDefault="00F76769" w:rsidP="003F66F0">
      <w:pPr>
        <w:pStyle w:val="ListParagraph"/>
        <w:numPr>
          <w:ilvl w:val="1"/>
          <w:numId w:val="30"/>
        </w:numPr>
        <w:rPr>
          <w:lang w:val="fr-CA"/>
        </w:rPr>
      </w:pPr>
      <w:proofErr w:type="gramStart"/>
      <w:r w:rsidRPr="008727CB">
        <w:rPr>
          <w:lang w:val="fr-CA"/>
        </w:rPr>
        <w:t>le</w:t>
      </w:r>
      <w:proofErr w:type="gramEnd"/>
      <w:r w:rsidRPr="008727CB">
        <w:rPr>
          <w:lang w:val="fr-CA"/>
        </w:rPr>
        <w:t xml:space="preserve"> changement </w:t>
      </w:r>
      <w:r w:rsidR="007F6416">
        <w:rPr>
          <w:lang w:val="fr-CA"/>
        </w:rPr>
        <w:t xml:space="preserve">de hauteur </w:t>
      </w:r>
      <w:r w:rsidRPr="008727CB">
        <w:rPr>
          <w:lang w:val="fr-CA"/>
        </w:rPr>
        <w:t>dépasse 250</w:t>
      </w:r>
      <w:r w:rsidR="00FA4FCB">
        <w:rPr>
          <w:lang w:val="fr-CA"/>
        </w:rPr>
        <w:t> </w:t>
      </w:r>
      <w:r w:rsidRPr="008727CB">
        <w:rPr>
          <w:lang w:val="fr-CA"/>
        </w:rPr>
        <w:t xml:space="preserve">mm; </w:t>
      </w:r>
      <w:proofErr w:type="gramStart"/>
      <w:r w:rsidRPr="008727CB">
        <w:rPr>
          <w:lang w:val="fr-CA"/>
        </w:rPr>
        <w:t>ou</w:t>
      </w:r>
      <w:proofErr w:type="gramEnd"/>
      <w:r w:rsidRPr="008727CB">
        <w:rPr>
          <w:lang w:val="fr-CA"/>
        </w:rPr>
        <w:t xml:space="preserve"> </w:t>
      </w:r>
    </w:p>
    <w:p w14:paraId="6BA8DB8F" w14:textId="590F795F" w:rsidR="00F76769" w:rsidRPr="008727CB" w:rsidRDefault="00F76769" w:rsidP="003F66F0">
      <w:pPr>
        <w:pStyle w:val="ListParagraph"/>
        <w:numPr>
          <w:ilvl w:val="1"/>
          <w:numId w:val="30"/>
        </w:numPr>
        <w:rPr>
          <w:lang w:val="fr-CA"/>
        </w:rPr>
      </w:pPr>
      <w:proofErr w:type="gramStart"/>
      <w:r w:rsidRPr="008727CB">
        <w:rPr>
          <w:lang w:val="fr-CA"/>
        </w:rPr>
        <w:t>la</w:t>
      </w:r>
      <w:proofErr w:type="gramEnd"/>
      <w:r w:rsidRPr="008727CB">
        <w:rPr>
          <w:lang w:val="fr-CA"/>
        </w:rPr>
        <w:t xml:space="preserve"> pente est plus </w:t>
      </w:r>
      <w:r w:rsidR="002F6319">
        <w:rPr>
          <w:lang w:val="fr-CA"/>
        </w:rPr>
        <w:t>prononcée</w:t>
      </w:r>
      <w:r w:rsidRPr="008727CB">
        <w:rPr>
          <w:lang w:val="fr-CA"/>
        </w:rPr>
        <w:t xml:space="preserve"> 1:3 (33</w:t>
      </w:r>
      <w:r w:rsidR="00D8285E">
        <w:rPr>
          <w:lang w:val="fr-CA"/>
        </w:rPr>
        <w:t> </w:t>
      </w:r>
      <w:r w:rsidRPr="008727CB">
        <w:rPr>
          <w:lang w:val="fr-CA"/>
        </w:rPr>
        <w:t>%).</w:t>
      </w:r>
    </w:p>
    <w:p w14:paraId="47FBF98E" w14:textId="2336D986" w:rsidR="00F76769" w:rsidRPr="008727CB" w:rsidRDefault="00164426" w:rsidP="003F66F0">
      <w:pPr>
        <w:pStyle w:val="ListRef"/>
        <w:numPr>
          <w:ilvl w:val="0"/>
          <w:numId w:val="30"/>
        </w:numPr>
        <w:rPr>
          <w:lang w:val="fr-CA"/>
        </w:rPr>
      </w:pPr>
      <w:r>
        <w:rPr>
          <w:lang w:val="fr-CA"/>
        </w:rPr>
        <w:t>D</w:t>
      </w:r>
      <w:r w:rsidR="00F76769" w:rsidRPr="008727CB">
        <w:rPr>
          <w:lang w:val="fr-CA"/>
        </w:rPr>
        <w:t>es deux côtés des passages à niveau au niveau du sol</w:t>
      </w:r>
      <w:r w:rsidR="00FB1865">
        <w:rPr>
          <w:lang w:val="fr-CA"/>
        </w:rPr>
        <w:t>.</w:t>
      </w:r>
    </w:p>
    <w:p w14:paraId="28A19920" w14:textId="4F3E26F2" w:rsidR="00F76769" w:rsidRPr="008727CB" w:rsidRDefault="00F76769" w:rsidP="003F66F0">
      <w:pPr>
        <w:pStyle w:val="ListRef"/>
        <w:numPr>
          <w:ilvl w:val="0"/>
          <w:numId w:val="30"/>
        </w:numPr>
        <w:rPr>
          <w:lang w:val="fr-CA"/>
        </w:rPr>
      </w:pPr>
      <w:r w:rsidRPr="008727CB">
        <w:rPr>
          <w:lang w:val="fr-CA"/>
        </w:rPr>
        <w:t>Des périmètres exposés de bassins réfléchissants et de fontaines</w:t>
      </w:r>
      <w:r w:rsidR="00FB1865">
        <w:rPr>
          <w:lang w:val="fr-CA"/>
        </w:rPr>
        <w:t>.</w:t>
      </w:r>
    </w:p>
    <w:p w14:paraId="5A7C209D" w14:textId="2DAC037C" w:rsidR="00F76769" w:rsidRPr="008727CB" w:rsidRDefault="0017293A" w:rsidP="003F66F0">
      <w:pPr>
        <w:pStyle w:val="ListRef"/>
        <w:numPr>
          <w:ilvl w:val="0"/>
          <w:numId w:val="30"/>
        </w:numPr>
        <w:rPr>
          <w:lang w:val="fr-CA"/>
        </w:rPr>
      </w:pPr>
      <w:r>
        <w:rPr>
          <w:lang w:val="fr-CA"/>
        </w:rPr>
        <w:t>D</w:t>
      </w:r>
      <w:r w:rsidR="00F76769" w:rsidRPr="008727CB">
        <w:rPr>
          <w:lang w:val="fr-CA"/>
        </w:rPr>
        <w:t xml:space="preserve">es </w:t>
      </w:r>
      <w:r w:rsidR="00E04392">
        <w:rPr>
          <w:lang w:val="fr-CA"/>
        </w:rPr>
        <w:t>bateaux</w:t>
      </w:r>
      <w:r w:rsidR="00F76769" w:rsidRPr="008727CB">
        <w:rPr>
          <w:lang w:val="fr-CA"/>
        </w:rPr>
        <w:t xml:space="preserve"> de trottoir et des </w:t>
      </w:r>
      <w:r w:rsidR="00A33C92">
        <w:rPr>
          <w:lang w:val="fr-CA"/>
        </w:rPr>
        <w:t>bordures</w:t>
      </w:r>
      <w:r w:rsidR="005261BC">
        <w:rPr>
          <w:lang w:val="fr-CA"/>
        </w:rPr>
        <w:t xml:space="preserve"> abaissées</w:t>
      </w:r>
      <w:r>
        <w:rPr>
          <w:lang w:val="fr-CA"/>
        </w:rPr>
        <w:t>.</w:t>
      </w:r>
    </w:p>
    <w:p w14:paraId="66FC0585" w14:textId="56E33348" w:rsidR="00F76769" w:rsidRPr="008727CB" w:rsidRDefault="00F76769" w:rsidP="003F66F0">
      <w:pPr>
        <w:pStyle w:val="ListRef"/>
        <w:numPr>
          <w:ilvl w:val="0"/>
          <w:numId w:val="30"/>
        </w:numPr>
        <w:rPr>
          <w:lang w:val="fr-CA"/>
        </w:rPr>
      </w:pPr>
      <w:r w:rsidRPr="008727CB">
        <w:rPr>
          <w:lang w:val="fr-CA"/>
        </w:rPr>
        <w:t>Des points d</w:t>
      </w:r>
      <w:r w:rsidR="00746F85">
        <w:rPr>
          <w:lang w:val="fr-CA"/>
        </w:rPr>
        <w:t>’</w:t>
      </w:r>
      <w:r w:rsidRPr="008727CB">
        <w:rPr>
          <w:lang w:val="fr-CA"/>
        </w:rPr>
        <w:t>accès à un</w:t>
      </w:r>
      <w:r w:rsidR="009D5914">
        <w:rPr>
          <w:lang w:val="fr-CA"/>
        </w:rPr>
        <w:t>e</w:t>
      </w:r>
      <w:r w:rsidRPr="008727CB">
        <w:rPr>
          <w:lang w:val="fr-CA"/>
        </w:rPr>
        <w:t xml:space="preserve"> </w:t>
      </w:r>
      <w:r w:rsidR="00BB6500">
        <w:rPr>
          <w:lang w:val="fr-CA"/>
        </w:rPr>
        <w:t>voie</w:t>
      </w:r>
      <w:r w:rsidRPr="008727CB">
        <w:rPr>
          <w:lang w:val="fr-CA"/>
        </w:rPr>
        <w:t xml:space="preserve"> ou une </w:t>
      </w:r>
      <w:r w:rsidR="00BB6500">
        <w:rPr>
          <w:lang w:val="fr-CA"/>
        </w:rPr>
        <w:t>air</w:t>
      </w:r>
      <w:r w:rsidR="000334DA">
        <w:rPr>
          <w:lang w:val="fr-CA"/>
        </w:rPr>
        <w:t xml:space="preserve">e de circulation automobile </w:t>
      </w:r>
      <w:r w:rsidRPr="008727CB">
        <w:rPr>
          <w:lang w:val="fr-CA"/>
        </w:rPr>
        <w:t xml:space="preserve">où </w:t>
      </w:r>
      <w:r w:rsidR="008E0AD8">
        <w:rPr>
          <w:lang w:val="fr-CA"/>
        </w:rPr>
        <w:t xml:space="preserve">aucune </w:t>
      </w:r>
      <w:r w:rsidRPr="008727CB">
        <w:rPr>
          <w:lang w:val="fr-CA"/>
        </w:rPr>
        <w:t xml:space="preserve">bordure ni de barrières physiques </w:t>
      </w:r>
      <w:r w:rsidR="009D05A1">
        <w:rPr>
          <w:lang w:val="fr-CA"/>
        </w:rPr>
        <w:t xml:space="preserve">ne </w:t>
      </w:r>
      <w:r w:rsidRPr="008727CB">
        <w:rPr>
          <w:lang w:val="fr-CA"/>
        </w:rPr>
        <w:t xml:space="preserve">distinguent les </w:t>
      </w:r>
      <w:r w:rsidR="009D05A1">
        <w:rPr>
          <w:lang w:val="fr-CA"/>
        </w:rPr>
        <w:t>voies</w:t>
      </w:r>
      <w:r w:rsidRPr="008727CB">
        <w:rPr>
          <w:lang w:val="fr-CA"/>
        </w:rPr>
        <w:t xml:space="preserve"> de circulation des zones de circulation</w:t>
      </w:r>
      <w:r w:rsidR="009D05A1">
        <w:rPr>
          <w:lang w:val="fr-CA"/>
        </w:rPr>
        <w:t xml:space="preserve"> automobile</w:t>
      </w:r>
      <w:r w:rsidR="00F307EB">
        <w:rPr>
          <w:lang w:val="fr-CA"/>
        </w:rPr>
        <w:t>.</w:t>
      </w:r>
    </w:p>
    <w:p w14:paraId="6D6C9B07" w14:textId="050023BD" w:rsidR="00F76769" w:rsidRPr="008727CB" w:rsidRDefault="00F76769" w:rsidP="003F66F0">
      <w:pPr>
        <w:pStyle w:val="ListRef"/>
        <w:numPr>
          <w:ilvl w:val="0"/>
          <w:numId w:val="30"/>
        </w:numPr>
        <w:rPr>
          <w:lang w:val="fr-CA"/>
        </w:rPr>
      </w:pPr>
      <w:r w:rsidRPr="008727CB">
        <w:rPr>
          <w:lang w:val="fr-CA"/>
        </w:rPr>
        <w:t>Là où il y a un danger</w:t>
      </w:r>
      <w:r w:rsidR="009D05A1">
        <w:rPr>
          <w:lang w:val="fr-CA"/>
        </w:rPr>
        <w:t>.</w:t>
      </w:r>
    </w:p>
    <w:p w14:paraId="7A8441F7" w14:textId="5DF62F87" w:rsidR="00F76769" w:rsidRPr="008727CB" w:rsidRDefault="00F76769" w:rsidP="003F66F0">
      <w:pPr>
        <w:pStyle w:val="ListRef"/>
        <w:numPr>
          <w:ilvl w:val="0"/>
          <w:numId w:val="30"/>
        </w:numPr>
        <w:rPr>
          <w:lang w:val="fr-CA"/>
        </w:rPr>
      </w:pPr>
      <w:r w:rsidRPr="008727CB">
        <w:rPr>
          <w:lang w:val="fr-CA"/>
        </w:rPr>
        <w:t>Lorsqu</w:t>
      </w:r>
      <w:r w:rsidR="00746F85">
        <w:rPr>
          <w:lang w:val="fr-CA"/>
        </w:rPr>
        <w:t>’</w:t>
      </w:r>
      <w:r w:rsidRPr="008727CB">
        <w:rPr>
          <w:lang w:val="fr-CA"/>
        </w:rPr>
        <w:t>il y a un changement de direction dans un</w:t>
      </w:r>
      <w:r w:rsidR="0046210C">
        <w:rPr>
          <w:lang w:val="fr-CA"/>
        </w:rPr>
        <w:t>e</w:t>
      </w:r>
      <w:r w:rsidRPr="008727CB">
        <w:rPr>
          <w:lang w:val="fr-CA"/>
        </w:rPr>
        <w:t xml:space="preserve"> </w:t>
      </w:r>
      <w:r w:rsidR="00460BE4">
        <w:rPr>
          <w:lang w:val="fr-CA"/>
        </w:rPr>
        <w:t>voie</w:t>
      </w:r>
      <w:r w:rsidRPr="008727CB">
        <w:rPr>
          <w:lang w:val="fr-CA"/>
        </w:rPr>
        <w:t xml:space="preserve"> de guidage tactile à l</w:t>
      </w:r>
      <w:r w:rsidR="00746F85">
        <w:rPr>
          <w:lang w:val="fr-CA"/>
        </w:rPr>
        <w:t>’</w:t>
      </w:r>
      <w:r w:rsidRPr="008727CB">
        <w:rPr>
          <w:lang w:val="fr-CA"/>
        </w:rPr>
        <w:t>aide d</w:t>
      </w:r>
      <w:r w:rsidR="00746F85">
        <w:rPr>
          <w:lang w:val="fr-CA"/>
        </w:rPr>
        <w:t>’</w:t>
      </w:r>
      <w:r w:rsidRPr="008727CB">
        <w:rPr>
          <w:lang w:val="fr-CA"/>
        </w:rPr>
        <w:t>indicateurs de directio</w:t>
      </w:r>
      <w:r w:rsidR="00E803B0">
        <w:rPr>
          <w:lang w:val="fr-CA"/>
        </w:rPr>
        <w:t>n.</w:t>
      </w:r>
    </w:p>
    <w:p w14:paraId="3EE3AC9F" w14:textId="46AFB2EB" w:rsidR="00F76769" w:rsidRPr="008727CB" w:rsidRDefault="00F76769" w:rsidP="003F66F0">
      <w:pPr>
        <w:pStyle w:val="ListRef"/>
        <w:numPr>
          <w:ilvl w:val="0"/>
          <w:numId w:val="30"/>
        </w:numPr>
        <w:rPr>
          <w:lang w:val="fr-CA"/>
        </w:rPr>
      </w:pPr>
      <w:r w:rsidRPr="008727CB">
        <w:rPr>
          <w:lang w:val="fr-CA"/>
        </w:rPr>
        <w:t>Lorsqu</w:t>
      </w:r>
      <w:r w:rsidR="00746F85">
        <w:rPr>
          <w:lang w:val="fr-CA"/>
        </w:rPr>
        <w:t>’</w:t>
      </w:r>
      <w:r w:rsidRPr="008727CB">
        <w:rPr>
          <w:lang w:val="fr-CA"/>
        </w:rPr>
        <w:t>une commodité est présente le long d</w:t>
      </w:r>
      <w:r w:rsidR="00746F85">
        <w:rPr>
          <w:lang w:val="fr-CA"/>
        </w:rPr>
        <w:t>’</w:t>
      </w:r>
      <w:r w:rsidRPr="008727CB">
        <w:rPr>
          <w:lang w:val="fr-CA"/>
        </w:rPr>
        <w:t>un</w:t>
      </w:r>
      <w:r w:rsidR="0046210C">
        <w:rPr>
          <w:lang w:val="fr-CA"/>
        </w:rPr>
        <w:t>e</w:t>
      </w:r>
      <w:r w:rsidRPr="008727CB">
        <w:rPr>
          <w:lang w:val="fr-CA"/>
        </w:rPr>
        <w:t xml:space="preserve"> </w:t>
      </w:r>
      <w:r w:rsidR="003B1987">
        <w:rPr>
          <w:lang w:val="fr-CA"/>
        </w:rPr>
        <w:t>voie</w:t>
      </w:r>
      <w:r w:rsidRPr="008727CB">
        <w:rPr>
          <w:lang w:val="fr-CA"/>
        </w:rPr>
        <w:t xml:space="preserve"> tactile pour faciliter l</w:t>
      </w:r>
      <w:r w:rsidR="00746F85">
        <w:rPr>
          <w:lang w:val="fr-CA"/>
        </w:rPr>
        <w:t>’</w:t>
      </w:r>
      <w:r w:rsidRPr="008727CB">
        <w:rPr>
          <w:lang w:val="fr-CA"/>
        </w:rPr>
        <w:t>identification.</w:t>
      </w:r>
    </w:p>
    <w:p w14:paraId="3F622E66" w14:textId="47FC3B86" w:rsidR="00F76769" w:rsidRPr="00F94DBD" w:rsidRDefault="009B63CC" w:rsidP="00F76769">
      <w:pPr>
        <w:rPr>
          <w:lang w:val="fr-CA"/>
        </w:rPr>
      </w:pPr>
      <w:r>
        <w:rPr>
          <w:rStyle w:val="EmphasisUseSparingly"/>
          <w:lang w:val="fr-CA"/>
        </w:rPr>
        <w:t>Remarque</w:t>
      </w:r>
      <w:r w:rsidR="00F1547A">
        <w:rPr>
          <w:rStyle w:val="EmphasisUseSparingly"/>
          <w:lang w:val="fr-CA"/>
        </w:rPr>
        <w:t> </w:t>
      </w:r>
      <w:r w:rsidR="00F76769" w:rsidRPr="008727CB">
        <w:rPr>
          <w:rStyle w:val="EmphasisUseSparingly"/>
          <w:lang w:val="fr-CA"/>
        </w:rPr>
        <w:t xml:space="preserve">: </w:t>
      </w:r>
      <w:r w:rsidR="00F76769" w:rsidRPr="008727CB">
        <w:rPr>
          <w:lang w:val="fr-CA"/>
        </w:rPr>
        <w:t xml:space="preserve">Lors des changements de direction </w:t>
      </w:r>
      <w:r w:rsidR="00D647DE">
        <w:rPr>
          <w:lang w:val="fr-CA"/>
        </w:rPr>
        <w:t>au sein</w:t>
      </w:r>
      <w:r w:rsidR="00F76769" w:rsidRPr="008727CB">
        <w:rPr>
          <w:lang w:val="fr-CA"/>
        </w:rPr>
        <w:t xml:space="preserve"> des indicateurs de direction, les indicateurs d</w:t>
      </w:r>
      <w:r w:rsidR="002D71BC">
        <w:rPr>
          <w:lang w:val="fr-CA"/>
        </w:rPr>
        <w:t>’</w:t>
      </w:r>
      <w:r w:rsidR="00F76769" w:rsidRPr="008727CB">
        <w:rPr>
          <w:lang w:val="fr-CA"/>
        </w:rPr>
        <w:t>a</w:t>
      </w:r>
      <w:r w:rsidR="00541055">
        <w:rPr>
          <w:lang w:val="fr-CA"/>
        </w:rPr>
        <w:t>vertissement</w:t>
      </w:r>
      <w:r w:rsidR="00F76769" w:rsidRPr="00F94DBD">
        <w:rPr>
          <w:lang w:val="fr-CA"/>
        </w:rPr>
        <w:t xml:space="preserve"> d</w:t>
      </w:r>
      <w:r w:rsidR="0071795D">
        <w:rPr>
          <w:lang w:val="fr-CA"/>
        </w:rPr>
        <w:t>evraien</w:t>
      </w:r>
      <w:r w:rsidR="00F76769" w:rsidRPr="00F94DBD">
        <w:rPr>
          <w:lang w:val="fr-CA"/>
        </w:rPr>
        <w:t>t être configurés selon un motif carré centré sur les indicateurs de direction, chaque côté du carré mesurant entre 600 et 650</w:t>
      </w:r>
      <w:r w:rsidR="00FA4FCB">
        <w:rPr>
          <w:lang w:val="fr-CA"/>
        </w:rPr>
        <w:t> </w:t>
      </w:r>
      <w:proofErr w:type="spellStart"/>
      <w:r w:rsidR="00F76769" w:rsidRPr="00F94DBD">
        <w:rPr>
          <w:lang w:val="fr-CA"/>
        </w:rPr>
        <w:t>mm.</w:t>
      </w:r>
      <w:proofErr w:type="spellEnd"/>
    </w:p>
    <w:p w14:paraId="5F3DF8C0" w14:textId="576E427F" w:rsidR="007760E2" w:rsidRDefault="00307845" w:rsidP="00307845">
      <w:pPr>
        <w:pStyle w:val="Heading4"/>
      </w:pPr>
      <w:r>
        <w:t>Placement</w:t>
      </w:r>
    </w:p>
    <w:p w14:paraId="29735C7E" w14:textId="6BC697D7" w:rsidR="00664B06" w:rsidRPr="00A94BB2" w:rsidRDefault="00664B06" w:rsidP="00664B06">
      <w:r>
        <w:t xml:space="preserve">Les </w:t>
      </w:r>
      <w:proofErr w:type="spellStart"/>
      <w:r>
        <w:t>indicateurs</w:t>
      </w:r>
      <w:proofErr w:type="spellEnd"/>
      <w:r>
        <w:t xml:space="preserve"> </w:t>
      </w:r>
      <w:proofErr w:type="spellStart"/>
      <w:r>
        <w:t>d</w:t>
      </w:r>
      <w:r w:rsidR="002D71BC">
        <w:t>’</w:t>
      </w:r>
      <w:r>
        <w:t>a</w:t>
      </w:r>
      <w:r w:rsidR="00627493">
        <w:t>vertissement</w:t>
      </w:r>
      <w:proofErr w:type="spellEnd"/>
      <w:r>
        <w:t xml:space="preserve"> </w:t>
      </w:r>
      <w:proofErr w:type="spellStart"/>
      <w:proofErr w:type="gramStart"/>
      <w:r>
        <w:t>doivent</w:t>
      </w:r>
      <w:proofErr w:type="spellEnd"/>
      <w:r w:rsidR="00F1547A">
        <w:t> </w:t>
      </w:r>
      <w:r>
        <w:t>:</w:t>
      </w:r>
      <w:proofErr w:type="gramEnd"/>
    </w:p>
    <w:p w14:paraId="49B01F72" w14:textId="1A60B05D" w:rsidR="00664B06" w:rsidRPr="00DA5F4E" w:rsidRDefault="00664B06" w:rsidP="003F66F0">
      <w:pPr>
        <w:pStyle w:val="ListRef"/>
        <w:numPr>
          <w:ilvl w:val="0"/>
          <w:numId w:val="31"/>
        </w:numPr>
        <w:rPr>
          <w:lang w:val="fr-CA"/>
        </w:rPr>
      </w:pPr>
      <w:proofErr w:type="gramStart"/>
      <w:r w:rsidRPr="00DA5F4E">
        <w:rPr>
          <w:lang w:val="fr-CA"/>
        </w:rPr>
        <w:t>couvrir</w:t>
      </w:r>
      <w:proofErr w:type="gramEnd"/>
      <w:r w:rsidRPr="00DA5F4E">
        <w:rPr>
          <w:lang w:val="fr-CA"/>
        </w:rPr>
        <w:t xml:space="preserve"> toute la largeur du danger, couvrant toutes les directions d</w:t>
      </w:r>
      <w:r w:rsidR="002D71BC">
        <w:rPr>
          <w:lang w:val="fr-CA"/>
        </w:rPr>
        <w:t>’</w:t>
      </w:r>
      <w:r w:rsidRPr="00DA5F4E">
        <w:rPr>
          <w:lang w:val="fr-CA"/>
        </w:rPr>
        <w:t>approche</w:t>
      </w:r>
      <w:r w:rsidR="002D323C">
        <w:rPr>
          <w:lang w:val="fr-CA"/>
        </w:rPr>
        <w:t>s</w:t>
      </w:r>
      <w:r w:rsidRPr="00DA5F4E">
        <w:rPr>
          <w:lang w:val="fr-CA"/>
        </w:rPr>
        <w:t xml:space="preserve"> lors de la signalisation d</w:t>
      </w:r>
      <w:r w:rsidR="002D71BC">
        <w:rPr>
          <w:lang w:val="fr-CA"/>
        </w:rPr>
        <w:t>’</w:t>
      </w:r>
      <w:r w:rsidRPr="00DA5F4E">
        <w:rPr>
          <w:lang w:val="fr-CA"/>
        </w:rPr>
        <w:t>un danger, et être positionné à au moins 300</w:t>
      </w:r>
      <w:r w:rsidR="00FA4FCB">
        <w:rPr>
          <w:lang w:val="fr-CA"/>
        </w:rPr>
        <w:t> </w:t>
      </w:r>
      <w:r w:rsidRPr="00DA5F4E">
        <w:rPr>
          <w:lang w:val="fr-CA"/>
        </w:rPr>
        <w:t>mm du danger;</w:t>
      </w:r>
    </w:p>
    <w:p w14:paraId="04B331CF" w14:textId="50741BA4" w:rsidR="00664B06" w:rsidRPr="00DA5F4E" w:rsidRDefault="00664B06" w:rsidP="003F66F0">
      <w:pPr>
        <w:pStyle w:val="ListRef"/>
        <w:numPr>
          <w:ilvl w:val="0"/>
          <w:numId w:val="31"/>
        </w:numPr>
        <w:rPr>
          <w:lang w:val="fr-CA"/>
        </w:rPr>
      </w:pPr>
      <w:proofErr w:type="gramStart"/>
      <w:r w:rsidRPr="00DA5F4E">
        <w:rPr>
          <w:lang w:val="fr-CA"/>
        </w:rPr>
        <w:t>être</w:t>
      </w:r>
      <w:proofErr w:type="gramEnd"/>
      <w:r w:rsidRPr="00DA5F4E">
        <w:rPr>
          <w:lang w:val="fr-CA"/>
        </w:rPr>
        <w:t xml:space="preserve"> positionné</w:t>
      </w:r>
      <w:r w:rsidR="00F700CC">
        <w:rPr>
          <w:lang w:val="fr-CA"/>
        </w:rPr>
        <w:t>s</w:t>
      </w:r>
      <w:r w:rsidRPr="00DA5F4E">
        <w:rPr>
          <w:lang w:val="fr-CA"/>
        </w:rPr>
        <w:t xml:space="preserve"> à 300</w:t>
      </w:r>
      <w:r w:rsidR="00FA4FCB">
        <w:rPr>
          <w:lang w:val="fr-CA"/>
        </w:rPr>
        <w:t> </w:t>
      </w:r>
      <w:r w:rsidRPr="00DA5F4E">
        <w:rPr>
          <w:lang w:val="fr-CA"/>
        </w:rPr>
        <w:t>mm du bord du trottoir lors de l</w:t>
      </w:r>
      <w:r w:rsidR="002D71BC">
        <w:rPr>
          <w:lang w:val="fr-CA"/>
        </w:rPr>
        <w:t>’</w:t>
      </w:r>
      <w:r w:rsidRPr="00DA5F4E">
        <w:rPr>
          <w:lang w:val="fr-CA"/>
        </w:rPr>
        <w:t>indication d</w:t>
      </w:r>
      <w:r w:rsidR="002D71BC">
        <w:rPr>
          <w:lang w:val="fr-CA"/>
        </w:rPr>
        <w:t>’</w:t>
      </w:r>
      <w:r w:rsidRPr="00DA5F4E">
        <w:rPr>
          <w:lang w:val="fr-CA"/>
        </w:rPr>
        <w:t>un</w:t>
      </w:r>
      <w:r w:rsidR="0046210C">
        <w:rPr>
          <w:lang w:val="fr-CA"/>
        </w:rPr>
        <w:t>e</w:t>
      </w:r>
      <w:r w:rsidRPr="00DA5F4E">
        <w:rPr>
          <w:lang w:val="fr-CA"/>
        </w:rPr>
        <w:t xml:space="preserve"> </w:t>
      </w:r>
      <w:r w:rsidR="0045292D">
        <w:rPr>
          <w:lang w:val="fr-CA"/>
        </w:rPr>
        <w:t>traverse de</w:t>
      </w:r>
      <w:r w:rsidRPr="00DA5F4E">
        <w:rPr>
          <w:lang w:val="fr-CA"/>
        </w:rPr>
        <w:t xml:space="preserve"> piéto</w:t>
      </w:r>
      <w:r w:rsidR="0045292D">
        <w:rPr>
          <w:lang w:val="fr-CA"/>
        </w:rPr>
        <w:t>n</w:t>
      </w:r>
      <w:r w:rsidRPr="00DA5F4E">
        <w:rPr>
          <w:lang w:val="fr-CA"/>
        </w:rPr>
        <w:t>;</w:t>
      </w:r>
    </w:p>
    <w:p w14:paraId="698A7A0F" w14:textId="0238E0FD" w:rsidR="00664B06" w:rsidRPr="00DA5F4E" w:rsidRDefault="00664B06" w:rsidP="003F66F0">
      <w:pPr>
        <w:pStyle w:val="ListRef"/>
        <w:numPr>
          <w:ilvl w:val="0"/>
          <w:numId w:val="31"/>
        </w:numPr>
        <w:rPr>
          <w:lang w:val="fr-CA"/>
        </w:rPr>
      </w:pPr>
      <w:proofErr w:type="gramStart"/>
      <w:r w:rsidRPr="00DA5F4E">
        <w:rPr>
          <w:lang w:val="fr-CA"/>
        </w:rPr>
        <w:lastRenderedPageBreak/>
        <w:t>être</w:t>
      </w:r>
      <w:proofErr w:type="gramEnd"/>
      <w:r w:rsidRPr="00DA5F4E">
        <w:rPr>
          <w:lang w:val="fr-CA"/>
        </w:rPr>
        <w:t xml:space="preserve"> installé</w:t>
      </w:r>
      <w:r w:rsidR="00F700CC">
        <w:rPr>
          <w:lang w:val="fr-CA"/>
        </w:rPr>
        <w:t>s</w:t>
      </w:r>
      <w:r w:rsidRPr="00DA5F4E">
        <w:rPr>
          <w:lang w:val="fr-CA"/>
        </w:rPr>
        <w:t xml:space="preserve"> à un angle de 90° par rapport à la direction du déplacement tout en s</w:t>
      </w:r>
      <w:r w:rsidR="002D71BC">
        <w:rPr>
          <w:lang w:val="fr-CA"/>
        </w:rPr>
        <w:t>’</w:t>
      </w:r>
      <w:r w:rsidRPr="00DA5F4E">
        <w:rPr>
          <w:lang w:val="fr-CA"/>
        </w:rPr>
        <w:t>étendant sur toute la largeur du passage;</w:t>
      </w:r>
    </w:p>
    <w:p w14:paraId="00798392" w14:textId="0D354F78" w:rsidR="00664B06" w:rsidRPr="00DA5F4E" w:rsidRDefault="00664B06" w:rsidP="003F66F0">
      <w:pPr>
        <w:pStyle w:val="ListRef"/>
        <w:numPr>
          <w:ilvl w:val="0"/>
          <w:numId w:val="31"/>
        </w:numPr>
        <w:rPr>
          <w:lang w:val="fr-CA"/>
        </w:rPr>
      </w:pPr>
      <w:proofErr w:type="gramStart"/>
      <w:r w:rsidRPr="00DA5F4E">
        <w:rPr>
          <w:lang w:val="fr-CA"/>
        </w:rPr>
        <w:t>être</w:t>
      </w:r>
      <w:proofErr w:type="gramEnd"/>
      <w:r w:rsidRPr="00DA5F4E">
        <w:rPr>
          <w:lang w:val="fr-CA"/>
        </w:rPr>
        <w:t xml:space="preserve"> positionné</w:t>
      </w:r>
      <w:r w:rsidR="00F700CC">
        <w:rPr>
          <w:lang w:val="fr-CA"/>
        </w:rPr>
        <w:t>s</w:t>
      </w:r>
      <w:r w:rsidRPr="00DA5F4E">
        <w:rPr>
          <w:lang w:val="fr-CA"/>
        </w:rPr>
        <w:t xml:space="preserve"> à 300</w:t>
      </w:r>
      <w:r w:rsidR="00FA4FCB">
        <w:rPr>
          <w:lang w:val="fr-CA"/>
        </w:rPr>
        <w:t> </w:t>
      </w:r>
      <w:r w:rsidRPr="00DA5F4E">
        <w:rPr>
          <w:lang w:val="fr-CA"/>
        </w:rPr>
        <w:t>mm du bord du trottoir lorsqu</w:t>
      </w:r>
      <w:r w:rsidR="002D71BC">
        <w:rPr>
          <w:lang w:val="fr-CA"/>
        </w:rPr>
        <w:t>’</w:t>
      </w:r>
      <w:r w:rsidRPr="00DA5F4E">
        <w:rPr>
          <w:lang w:val="fr-CA"/>
        </w:rPr>
        <w:t xml:space="preserve">il sert à marquer les </w:t>
      </w:r>
      <w:r w:rsidR="00CC6D84">
        <w:rPr>
          <w:lang w:val="fr-CA"/>
        </w:rPr>
        <w:t>bordures au ni</w:t>
      </w:r>
      <w:r w:rsidR="003E5DE5">
        <w:rPr>
          <w:lang w:val="fr-CA"/>
        </w:rPr>
        <w:t>veau du sol</w:t>
      </w:r>
      <w:r w:rsidRPr="00DA5F4E">
        <w:rPr>
          <w:lang w:val="fr-CA"/>
        </w:rPr>
        <w:t xml:space="preserve"> séparant les trottoirs des voies</w:t>
      </w:r>
      <w:r w:rsidR="003E5DE5">
        <w:rPr>
          <w:lang w:val="fr-CA"/>
        </w:rPr>
        <w:t xml:space="preserve"> </w:t>
      </w:r>
      <w:r w:rsidR="00320E22">
        <w:rPr>
          <w:lang w:val="fr-CA"/>
        </w:rPr>
        <w:t xml:space="preserve">de circulation </w:t>
      </w:r>
      <w:r w:rsidR="003E5DE5">
        <w:rPr>
          <w:lang w:val="fr-CA"/>
        </w:rPr>
        <w:t>automobile</w:t>
      </w:r>
      <w:r w:rsidRPr="00DA5F4E">
        <w:rPr>
          <w:lang w:val="fr-CA"/>
        </w:rPr>
        <w:t>;</w:t>
      </w:r>
    </w:p>
    <w:p w14:paraId="50B91DA7" w14:textId="449C6CE7" w:rsidR="00664B06" w:rsidRPr="00877353" w:rsidRDefault="00664B06" w:rsidP="003F66F0">
      <w:pPr>
        <w:pStyle w:val="ListRef"/>
        <w:numPr>
          <w:ilvl w:val="0"/>
          <w:numId w:val="31"/>
        </w:numPr>
        <w:rPr>
          <w:lang w:val="fr-CA"/>
        </w:rPr>
      </w:pPr>
      <w:proofErr w:type="gramStart"/>
      <w:r w:rsidRPr="00877353">
        <w:rPr>
          <w:lang w:val="fr-CA"/>
        </w:rPr>
        <w:t>être</w:t>
      </w:r>
      <w:proofErr w:type="gramEnd"/>
      <w:r w:rsidRPr="00877353">
        <w:rPr>
          <w:lang w:val="fr-CA"/>
        </w:rPr>
        <w:t xml:space="preserve"> placé</w:t>
      </w:r>
      <w:r w:rsidR="00F700CC">
        <w:rPr>
          <w:lang w:val="fr-CA"/>
        </w:rPr>
        <w:t>s</w:t>
      </w:r>
      <w:r w:rsidRPr="00877353">
        <w:rPr>
          <w:lang w:val="fr-CA"/>
        </w:rPr>
        <w:t xml:space="preserve"> au palier supérieur des bâtiments où un escalier est situé dans un espace ouvert; et</w:t>
      </w:r>
    </w:p>
    <w:p w14:paraId="68B3708D" w14:textId="4EB9944F" w:rsidR="00664B06" w:rsidRPr="00DA5F4E" w:rsidRDefault="007B36E2" w:rsidP="003F66F0">
      <w:pPr>
        <w:pStyle w:val="ListRef"/>
        <w:numPr>
          <w:ilvl w:val="0"/>
          <w:numId w:val="31"/>
        </w:numPr>
        <w:rPr>
          <w:lang w:val="fr-CA"/>
        </w:rPr>
      </w:pPr>
      <w:proofErr w:type="gramStart"/>
      <w:r>
        <w:rPr>
          <w:lang w:val="fr-CA"/>
        </w:rPr>
        <w:t>ê</w:t>
      </w:r>
      <w:r w:rsidRPr="007B36E2">
        <w:rPr>
          <w:lang w:val="fr-CA"/>
        </w:rPr>
        <w:t>tre</w:t>
      </w:r>
      <w:proofErr w:type="gramEnd"/>
      <w:r w:rsidR="00664B06" w:rsidRPr="00DA5F4E">
        <w:rPr>
          <w:lang w:val="fr-CA"/>
        </w:rPr>
        <w:t xml:space="preserve"> organisé</w:t>
      </w:r>
      <w:r w:rsidR="00F700CC">
        <w:rPr>
          <w:lang w:val="fr-CA"/>
        </w:rPr>
        <w:t>s</w:t>
      </w:r>
      <w:r w:rsidR="00664B06" w:rsidRPr="00DA5F4E">
        <w:rPr>
          <w:lang w:val="fr-CA"/>
        </w:rPr>
        <w:t xml:space="preserve"> pour assurer une visibilité claire des premières et dernières marches lors</w:t>
      </w:r>
      <w:r w:rsidR="001D2F0D">
        <w:rPr>
          <w:lang w:val="fr-CA"/>
        </w:rPr>
        <w:t>qu’il</w:t>
      </w:r>
      <w:r w:rsidR="00007297">
        <w:rPr>
          <w:lang w:val="fr-CA"/>
        </w:rPr>
        <w:t>s sont utilisé</w:t>
      </w:r>
      <w:r w:rsidR="00437EFE">
        <w:rPr>
          <w:lang w:val="fr-CA"/>
        </w:rPr>
        <w:t>s</w:t>
      </w:r>
      <w:r w:rsidR="00664B06" w:rsidRPr="00DA5F4E">
        <w:rPr>
          <w:lang w:val="fr-CA"/>
        </w:rPr>
        <w:t xml:space="preserve"> </w:t>
      </w:r>
      <w:r w:rsidR="00007297">
        <w:rPr>
          <w:lang w:val="fr-CA"/>
        </w:rPr>
        <w:t xml:space="preserve">dans </w:t>
      </w:r>
      <w:r w:rsidR="00664B06" w:rsidRPr="00DA5F4E">
        <w:rPr>
          <w:lang w:val="fr-CA"/>
        </w:rPr>
        <w:t>des paliers des escaliers afin d</w:t>
      </w:r>
      <w:r w:rsidR="002D71BC">
        <w:rPr>
          <w:lang w:val="fr-CA"/>
        </w:rPr>
        <w:t>’</w:t>
      </w:r>
      <w:r w:rsidR="00664B06" w:rsidRPr="00DA5F4E">
        <w:rPr>
          <w:lang w:val="fr-CA"/>
        </w:rPr>
        <w:t>éviter toute confusion visuelle.</w:t>
      </w:r>
    </w:p>
    <w:p w14:paraId="38EF9386" w14:textId="1599B6E5" w:rsidR="00685CD8" w:rsidRPr="00DA5F4E" w:rsidRDefault="00DA5F4E" w:rsidP="00685CD8">
      <w:pPr>
        <w:rPr>
          <w:lang w:val="fr-CA"/>
        </w:rPr>
      </w:pPr>
      <w:r>
        <w:rPr>
          <w:rStyle w:val="EmphasisUseSparingly"/>
          <w:lang w:val="fr-CA"/>
        </w:rPr>
        <w:t>Remarque</w:t>
      </w:r>
      <w:r w:rsidR="00F1547A">
        <w:rPr>
          <w:rStyle w:val="EmphasisUseSparingly"/>
          <w:lang w:val="fr-CA"/>
        </w:rPr>
        <w:t> </w:t>
      </w:r>
      <w:r w:rsidR="00685CD8" w:rsidRPr="00DA5F4E">
        <w:rPr>
          <w:rStyle w:val="EmphasisUseSparingly"/>
          <w:lang w:val="fr-CA"/>
        </w:rPr>
        <w:t xml:space="preserve">: </w:t>
      </w:r>
      <w:r w:rsidR="00BF3B75">
        <w:rPr>
          <w:lang w:val="fr-CA"/>
        </w:rPr>
        <w:t>Afin de</w:t>
      </w:r>
      <w:r w:rsidR="007D0303" w:rsidRPr="00DA5F4E">
        <w:rPr>
          <w:lang w:val="fr-CA"/>
        </w:rPr>
        <w:t xml:space="preserve"> réduire le</w:t>
      </w:r>
      <w:r w:rsidR="00BF3B75">
        <w:rPr>
          <w:lang w:val="fr-CA"/>
        </w:rPr>
        <w:t>s</w:t>
      </w:r>
      <w:r w:rsidR="007D0303" w:rsidRPr="00DA5F4E">
        <w:rPr>
          <w:lang w:val="fr-CA"/>
        </w:rPr>
        <w:t xml:space="preserve"> risque</w:t>
      </w:r>
      <w:r w:rsidR="00BF3B75">
        <w:rPr>
          <w:lang w:val="fr-CA"/>
        </w:rPr>
        <w:t>s</w:t>
      </w:r>
      <w:r w:rsidR="007D0303" w:rsidRPr="00DA5F4E">
        <w:rPr>
          <w:lang w:val="fr-CA"/>
        </w:rPr>
        <w:t xml:space="preserve"> de trébuche</w:t>
      </w:r>
      <w:r w:rsidR="00BF3B75">
        <w:rPr>
          <w:lang w:val="fr-CA"/>
        </w:rPr>
        <w:t>r ou de tomber</w:t>
      </w:r>
      <w:r w:rsidR="007D0303" w:rsidRPr="00DA5F4E">
        <w:rPr>
          <w:lang w:val="fr-CA"/>
        </w:rPr>
        <w:t xml:space="preserve">, les </w:t>
      </w:r>
      <w:r w:rsidR="00BF3B75">
        <w:rPr>
          <w:lang w:val="fr-CA"/>
        </w:rPr>
        <w:t xml:space="preserve">volées </w:t>
      </w:r>
      <w:r w:rsidR="0046210C">
        <w:rPr>
          <w:lang w:val="fr-CA"/>
        </w:rPr>
        <w:t>d’</w:t>
      </w:r>
      <w:r w:rsidR="007D0303" w:rsidRPr="00DA5F4E">
        <w:rPr>
          <w:lang w:val="fr-CA"/>
        </w:rPr>
        <w:t xml:space="preserve">escaliers et les </w:t>
      </w:r>
      <w:r>
        <w:rPr>
          <w:lang w:val="fr-CA"/>
        </w:rPr>
        <w:t>paliers</w:t>
      </w:r>
      <w:r w:rsidR="007D0303" w:rsidRPr="00DA5F4E">
        <w:rPr>
          <w:lang w:val="fr-CA"/>
        </w:rPr>
        <w:t xml:space="preserve"> faits de matériaux différents devraient avoir des propriétés de friction similaires.</w:t>
      </w:r>
    </w:p>
    <w:p w14:paraId="43F6AFD1" w14:textId="00618776" w:rsidR="00DA4A7B" w:rsidRDefault="00FB4242" w:rsidP="00DA4A7B">
      <w:pPr>
        <w:pStyle w:val="Heading4"/>
      </w:pPr>
      <w:proofErr w:type="spellStart"/>
      <w:r>
        <w:t>Contraste</w:t>
      </w:r>
      <w:proofErr w:type="spellEnd"/>
      <w:r>
        <w:t xml:space="preserve"> de luminance</w:t>
      </w:r>
    </w:p>
    <w:p w14:paraId="61B4D440" w14:textId="339B4C5E" w:rsidR="00D64175" w:rsidRPr="00DA589B" w:rsidRDefault="00D64175" w:rsidP="00D64175">
      <w:pPr>
        <w:rPr>
          <w:lang w:val="fr-CA"/>
        </w:rPr>
      </w:pPr>
      <w:r w:rsidRPr="00DA589B">
        <w:rPr>
          <w:lang w:val="fr-CA"/>
        </w:rPr>
        <w:t>Le contraste de luminance pour les surfaces indicatrices d</w:t>
      </w:r>
      <w:r w:rsidR="002D71BC">
        <w:rPr>
          <w:lang w:val="fr-CA"/>
        </w:rPr>
        <w:t>’</w:t>
      </w:r>
      <w:r w:rsidRPr="00DA589B">
        <w:rPr>
          <w:lang w:val="fr-CA"/>
        </w:rPr>
        <w:t>a</w:t>
      </w:r>
      <w:r w:rsidR="002B45C2">
        <w:rPr>
          <w:lang w:val="fr-CA"/>
        </w:rPr>
        <w:t>vertissement</w:t>
      </w:r>
      <w:r w:rsidRPr="00DA589B">
        <w:rPr>
          <w:lang w:val="fr-CA"/>
        </w:rPr>
        <w:t xml:space="preserve"> doit</w:t>
      </w:r>
      <w:r w:rsidR="00F1547A">
        <w:rPr>
          <w:lang w:val="fr-CA"/>
        </w:rPr>
        <w:t> </w:t>
      </w:r>
      <w:r w:rsidRPr="00DA589B">
        <w:rPr>
          <w:lang w:val="fr-CA"/>
        </w:rPr>
        <w:t>:</w:t>
      </w:r>
    </w:p>
    <w:p w14:paraId="713F971B" w14:textId="46AE8F78" w:rsidR="00D64175" w:rsidRPr="00DA589B" w:rsidRDefault="00983B09" w:rsidP="003F66F0">
      <w:pPr>
        <w:pStyle w:val="ListRef"/>
        <w:numPr>
          <w:ilvl w:val="0"/>
          <w:numId w:val="32"/>
        </w:numPr>
        <w:rPr>
          <w:lang w:val="fr-CA"/>
        </w:rPr>
      </w:pPr>
      <w:proofErr w:type="gramStart"/>
      <w:r>
        <w:rPr>
          <w:lang w:val="fr-CA"/>
        </w:rPr>
        <w:t>avoir</w:t>
      </w:r>
      <w:proofErr w:type="gramEnd"/>
      <w:r w:rsidR="00D64175" w:rsidRPr="00DA589B">
        <w:rPr>
          <w:lang w:val="fr-CA"/>
        </w:rPr>
        <w:t xml:space="preserve"> une différence de réflectance lumineuse ou valeur CIE Y avec leur surface immédiate environnante, supérieure à 30</w:t>
      </w:r>
      <w:r w:rsidR="003B2C52">
        <w:rPr>
          <w:lang w:val="fr-CA"/>
        </w:rPr>
        <w:t> </w:t>
      </w:r>
      <w:r w:rsidR="00D64175" w:rsidRPr="00DA589B">
        <w:rPr>
          <w:lang w:val="fr-CA"/>
        </w:rPr>
        <w:t>points pour les unités intégrées et supérieure à 40</w:t>
      </w:r>
      <w:r w:rsidR="003B2C52">
        <w:rPr>
          <w:lang w:val="fr-CA"/>
        </w:rPr>
        <w:t> </w:t>
      </w:r>
      <w:r w:rsidR="00D64175" w:rsidRPr="00DA589B">
        <w:rPr>
          <w:lang w:val="fr-CA"/>
        </w:rPr>
        <w:t>points pour les unités discrètes, avec une valeur de réflectance minimale de la surface plus claire de 50</w:t>
      </w:r>
      <w:r w:rsidR="003B2C52">
        <w:rPr>
          <w:lang w:val="fr-CA"/>
        </w:rPr>
        <w:t> </w:t>
      </w:r>
      <w:r w:rsidR="00D64175" w:rsidRPr="00DA589B">
        <w:rPr>
          <w:lang w:val="fr-CA"/>
        </w:rPr>
        <w:t>points; et</w:t>
      </w:r>
    </w:p>
    <w:p w14:paraId="2F94CA51" w14:textId="30AA63B3" w:rsidR="00D64175" w:rsidRPr="00DA589B" w:rsidRDefault="00D64175" w:rsidP="003F66F0">
      <w:pPr>
        <w:pStyle w:val="ListRef"/>
        <w:numPr>
          <w:ilvl w:val="0"/>
          <w:numId w:val="32"/>
        </w:numPr>
        <w:rPr>
          <w:lang w:val="fr-CA"/>
        </w:rPr>
      </w:pPr>
      <w:proofErr w:type="gramStart"/>
      <w:r w:rsidRPr="00DA589B">
        <w:rPr>
          <w:lang w:val="fr-CA"/>
        </w:rPr>
        <w:t>être</w:t>
      </w:r>
      <w:proofErr w:type="gramEnd"/>
      <w:r w:rsidRPr="00DA589B">
        <w:rPr>
          <w:lang w:val="fr-CA"/>
        </w:rPr>
        <w:t xml:space="preserve"> atteint entre les indicateurs d</w:t>
      </w:r>
      <w:r w:rsidR="002D71BC">
        <w:rPr>
          <w:lang w:val="fr-CA"/>
        </w:rPr>
        <w:t>’</w:t>
      </w:r>
      <w:r w:rsidRPr="00DA589B">
        <w:rPr>
          <w:lang w:val="fr-CA"/>
        </w:rPr>
        <w:t>a</w:t>
      </w:r>
      <w:r w:rsidR="00627493">
        <w:rPr>
          <w:lang w:val="fr-CA"/>
        </w:rPr>
        <w:t xml:space="preserve">vertissement </w:t>
      </w:r>
      <w:r w:rsidRPr="00DA589B">
        <w:rPr>
          <w:lang w:val="fr-CA"/>
        </w:rPr>
        <w:t>et la zone environnante. Si le contraste requis ne peut être atteint, une bande continue d</w:t>
      </w:r>
      <w:r w:rsidR="002D71BC">
        <w:rPr>
          <w:lang w:val="fr-CA"/>
        </w:rPr>
        <w:t>’</w:t>
      </w:r>
      <w:r w:rsidRPr="00DA589B">
        <w:rPr>
          <w:lang w:val="fr-CA"/>
        </w:rPr>
        <w:t>au moins 100</w:t>
      </w:r>
      <w:r w:rsidR="00FA4FCB">
        <w:rPr>
          <w:lang w:val="fr-CA"/>
        </w:rPr>
        <w:t> </w:t>
      </w:r>
      <w:r w:rsidRPr="00DA589B">
        <w:rPr>
          <w:lang w:val="fr-CA"/>
        </w:rPr>
        <w:t>mm de large avec un contraste approprié doit être placée à côté des indicateurs d</w:t>
      </w:r>
      <w:r w:rsidR="002D71BC">
        <w:rPr>
          <w:lang w:val="fr-CA"/>
        </w:rPr>
        <w:t>’</w:t>
      </w:r>
      <w:r w:rsidRPr="00DA589B">
        <w:rPr>
          <w:lang w:val="fr-CA"/>
        </w:rPr>
        <w:t>a</w:t>
      </w:r>
      <w:r w:rsidR="00627493">
        <w:rPr>
          <w:lang w:val="fr-CA"/>
        </w:rPr>
        <w:t>vertissement</w:t>
      </w:r>
      <w:r w:rsidRPr="00DA589B">
        <w:rPr>
          <w:lang w:val="fr-CA"/>
        </w:rPr>
        <w:t>.</w:t>
      </w:r>
    </w:p>
    <w:p w14:paraId="64031ED5" w14:textId="52D6A236" w:rsidR="00D64175" w:rsidRPr="00DA589B" w:rsidRDefault="00F559A4" w:rsidP="00D64175">
      <w:pPr>
        <w:rPr>
          <w:lang w:val="fr-CA"/>
        </w:rPr>
      </w:pPr>
      <w:r>
        <w:rPr>
          <w:rStyle w:val="EmphasisUseSparingly"/>
          <w:lang w:val="fr-CA"/>
        </w:rPr>
        <w:t>Remarque</w:t>
      </w:r>
      <w:r w:rsidR="00D64175" w:rsidRPr="00DA589B">
        <w:rPr>
          <w:rStyle w:val="EmphasisUseSparingly"/>
          <w:lang w:val="fr-CA"/>
        </w:rPr>
        <w:t xml:space="preserve"> 1</w:t>
      </w:r>
      <w:r w:rsidR="00F1547A">
        <w:rPr>
          <w:rStyle w:val="EmphasisUseSparingly"/>
          <w:lang w:val="fr-CA"/>
        </w:rPr>
        <w:t> </w:t>
      </w:r>
      <w:r w:rsidR="00D64175" w:rsidRPr="00DA589B">
        <w:rPr>
          <w:rStyle w:val="EmphasisUseSparingly"/>
          <w:lang w:val="fr-CA"/>
        </w:rPr>
        <w:t xml:space="preserve">: </w:t>
      </w:r>
      <w:r w:rsidR="00A821D0" w:rsidRPr="00DA589B">
        <w:rPr>
          <w:lang w:val="fr-CA"/>
        </w:rPr>
        <w:t>Les unités intégrées sont des composants uniques composés de dômes, cônes ou barres allongées formées ensemble sur une surface de base ou une plaque.</w:t>
      </w:r>
    </w:p>
    <w:p w14:paraId="7DD3BBCD" w14:textId="2A298B3F" w:rsidR="00FB4242" w:rsidRPr="00DA589B" w:rsidRDefault="002D62AA" w:rsidP="00D64175">
      <w:pPr>
        <w:rPr>
          <w:lang w:val="fr-CA"/>
        </w:rPr>
      </w:pPr>
      <w:r>
        <w:rPr>
          <w:rStyle w:val="EmphasisUseSparingly"/>
          <w:lang w:val="fr-CA"/>
        </w:rPr>
        <w:lastRenderedPageBreak/>
        <w:t>Remarque</w:t>
      </w:r>
      <w:r w:rsidR="00D64175" w:rsidRPr="00DA589B">
        <w:rPr>
          <w:rStyle w:val="EmphasisUseSparingly"/>
          <w:lang w:val="fr-CA"/>
        </w:rPr>
        <w:t xml:space="preserve"> 2</w:t>
      </w:r>
      <w:r w:rsidR="00F1547A">
        <w:rPr>
          <w:rStyle w:val="EmphasisUseSparingly"/>
          <w:lang w:val="fr-CA"/>
        </w:rPr>
        <w:t> </w:t>
      </w:r>
      <w:r w:rsidR="00D64175" w:rsidRPr="00DA589B">
        <w:rPr>
          <w:rStyle w:val="EmphasisUseSparingly"/>
          <w:lang w:val="fr-CA"/>
        </w:rPr>
        <w:t xml:space="preserve">: </w:t>
      </w:r>
      <w:r w:rsidR="00FF3049" w:rsidRPr="00DA589B">
        <w:rPr>
          <w:lang w:val="fr-CA"/>
        </w:rPr>
        <w:t>Les unités discrètes sont des éléments tactiles installés indépendamment, tels que des dômes, des cônes ou des barres allongées, intégrés dans les surfaces du sol ou du plancher comme composants distincts.</w:t>
      </w:r>
    </w:p>
    <w:p w14:paraId="7BFFF169" w14:textId="1CD8EEC0" w:rsidR="00307845" w:rsidRPr="00D61146" w:rsidRDefault="00D61146" w:rsidP="00307845">
      <w:pPr>
        <w:rPr>
          <w:lang w:val="fr-CA"/>
        </w:rPr>
      </w:pPr>
      <w:r>
        <w:rPr>
          <w:rStyle w:val="EmphasisUseSparingly"/>
          <w:lang w:val="fr-CA"/>
        </w:rPr>
        <w:t>Remarque</w:t>
      </w:r>
      <w:r w:rsidR="002072C4" w:rsidRPr="00DA589B">
        <w:rPr>
          <w:rStyle w:val="EmphasisUseSparingly"/>
          <w:lang w:val="fr-CA"/>
        </w:rPr>
        <w:t xml:space="preserve"> 3</w:t>
      </w:r>
      <w:r w:rsidR="00F1547A">
        <w:rPr>
          <w:rStyle w:val="EmphasisUseSparingly"/>
          <w:lang w:val="fr-CA"/>
        </w:rPr>
        <w:t> </w:t>
      </w:r>
      <w:r w:rsidR="002072C4" w:rsidRPr="00DA589B">
        <w:rPr>
          <w:rStyle w:val="EmphasisUseSparingly"/>
          <w:lang w:val="fr-CA"/>
        </w:rPr>
        <w:t>:</w:t>
      </w:r>
      <w:r w:rsidR="003341EC" w:rsidRPr="00DA589B">
        <w:rPr>
          <w:lang w:val="fr-CA"/>
        </w:rPr>
        <w:t xml:space="preserve"> La zone effective des indicateurs d</w:t>
      </w:r>
      <w:r w:rsidR="002D71BC">
        <w:rPr>
          <w:lang w:val="fr-CA"/>
        </w:rPr>
        <w:t>’</w:t>
      </w:r>
      <w:r w:rsidR="00627493">
        <w:rPr>
          <w:lang w:val="fr-CA"/>
        </w:rPr>
        <w:t>avertissement</w:t>
      </w:r>
      <w:r w:rsidR="003341EC" w:rsidRPr="00D61146">
        <w:rPr>
          <w:lang w:val="fr-CA"/>
        </w:rPr>
        <w:t xml:space="preserve"> d</w:t>
      </w:r>
      <w:r>
        <w:rPr>
          <w:lang w:val="fr-CA"/>
        </w:rPr>
        <w:t xml:space="preserve">evrait </w:t>
      </w:r>
      <w:r w:rsidR="003341EC" w:rsidRPr="00D61146">
        <w:rPr>
          <w:lang w:val="fr-CA"/>
        </w:rPr>
        <w:t xml:space="preserve">présenter un contraste visuel </w:t>
      </w:r>
      <w:r w:rsidR="00E517EE">
        <w:rPr>
          <w:lang w:val="fr-CA"/>
        </w:rPr>
        <w:t xml:space="preserve">élevé </w:t>
      </w:r>
      <w:r w:rsidR="003341EC" w:rsidRPr="00D61146">
        <w:rPr>
          <w:lang w:val="fr-CA"/>
        </w:rPr>
        <w:t xml:space="preserve">(voir aussi les </w:t>
      </w:r>
      <w:r>
        <w:rPr>
          <w:lang w:val="fr-CA"/>
        </w:rPr>
        <w:t>articles</w:t>
      </w:r>
      <w:r w:rsidR="003341EC" w:rsidRPr="00D61146">
        <w:rPr>
          <w:lang w:val="fr-CA"/>
        </w:rPr>
        <w:t xml:space="preserve"> </w:t>
      </w:r>
      <w:r w:rsidR="00FF4D5F">
        <w:fldChar w:fldCharType="begin"/>
      </w:r>
      <w:r w:rsidR="00FF4D5F" w:rsidRPr="007C0FBA">
        <w:rPr>
          <w:lang w:val="fr-CA"/>
        </w:rPr>
        <w:instrText>HYPERLINK \l "_Lighting"</w:instrText>
      </w:r>
      <w:r w:rsidR="00FF4D5F">
        <w:fldChar w:fldCharType="separate"/>
      </w:r>
      <w:r w:rsidR="00FF4D5F">
        <w:rPr>
          <w:rStyle w:val="Hyperlink"/>
          <w:lang w:val="fr-CA"/>
        </w:rPr>
        <w:t>10</w:t>
      </w:r>
      <w:r w:rsidR="006A0005" w:rsidRPr="00D61146">
        <w:rPr>
          <w:rStyle w:val="Hyperlink"/>
          <w:lang w:val="fr-CA"/>
        </w:rPr>
        <w:t>.1</w:t>
      </w:r>
      <w:r w:rsidR="00FF4D5F">
        <w:fldChar w:fldCharType="end"/>
      </w:r>
      <w:r w:rsidR="002072C4" w:rsidRPr="00D61146">
        <w:rPr>
          <w:lang w:val="fr-CA"/>
        </w:rPr>
        <w:t xml:space="preserve">, </w:t>
      </w:r>
      <w:r w:rsidR="006A0005">
        <w:fldChar w:fldCharType="begin"/>
      </w:r>
      <w:r w:rsidR="006A0005" w:rsidRPr="007C0FBA">
        <w:rPr>
          <w:lang w:val="fr-CA"/>
        </w:rPr>
        <w:instrText>HYPERLINK \l "_Luminance_contrast"</w:instrText>
      </w:r>
      <w:r w:rsidR="006A0005">
        <w:fldChar w:fldCharType="separate"/>
      </w:r>
      <w:r w:rsidR="006A0005" w:rsidRPr="00D61146">
        <w:rPr>
          <w:rStyle w:val="Hyperlink"/>
          <w:lang w:val="fr-CA"/>
        </w:rPr>
        <w:t>1</w:t>
      </w:r>
      <w:r w:rsidR="00FF4D5F">
        <w:rPr>
          <w:rStyle w:val="Hyperlink"/>
          <w:lang w:val="fr-CA"/>
        </w:rPr>
        <w:t>0</w:t>
      </w:r>
      <w:r w:rsidR="006A0005" w:rsidRPr="00D61146">
        <w:rPr>
          <w:rStyle w:val="Hyperlink"/>
          <w:lang w:val="fr-CA"/>
        </w:rPr>
        <w:t>.2</w:t>
      </w:r>
      <w:r w:rsidR="006A0005">
        <w:fldChar w:fldCharType="end"/>
      </w:r>
      <w:r w:rsidR="002072C4" w:rsidRPr="00D61146">
        <w:rPr>
          <w:lang w:val="fr-CA"/>
        </w:rPr>
        <w:t xml:space="preserve"> et </w:t>
      </w:r>
      <w:r w:rsidR="006A0005">
        <w:fldChar w:fldCharType="begin"/>
      </w:r>
      <w:r w:rsidR="006A0005" w:rsidRPr="007C0FBA">
        <w:rPr>
          <w:lang w:val="fr-CA"/>
        </w:rPr>
        <w:instrText>HYPERLINK \l "_Colour_choice"</w:instrText>
      </w:r>
      <w:r w:rsidR="006A0005">
        <w:fldChar w:fldCharType="separate"/>
      </w:r>
      <w:r w:rsidR="006A0005" w:rsidRPr="00D61146">
        <w:rPr>
          <w:rStyle w:val="Hyperlink"/>
          <w:lang w:val="fr-CA"/>
        </w:rPr>
        <w:t>1</w:t>
      </w:r>
      <w:r w:rsidR="00FF4D5F">
        <w:rPr>
          <w:rStyle w:val="Hyperlink"/>
          <w:lang w:val="fr-CA"/>
        </w:rPr>
        <w:t>0</w:t>
      </w:r>
      <w:r w:rsidR="006A0005" w:rsidRPr="00D61146">
        <w:rPr>
          <w:rStyle w:val="Hyperlink"/>
          <w:lang w:val="fr-CA"/>
        </w:rPr>
        <w:t>.3</w:t>
      </w:r>
      <w:r w:rsidR="006A0005">
        <w:fldChar w:fldCharType="end"/>
      </w:r>
      <w:r w:rsidR="002072C4" w:rsidRPr="00D61146">
        <w:rPr>
          <w:lang w:val="fr-CA"/>
        </w:rPr>
        <w:t>) avec la surface piétonne</w:t>
      </w:r>
      <w:r w:rsidR="00E517EE">
        <w:rPr>
          <w:lang w:val="fr-CA"/>
        </w:rPr>
        <w:t xml:space="preserve"> environnante</w:t>
      </w:r>
      <w:r w:rsidR="002072C4" w:rsidRPr="00D61146">
        <w:rPr>
          <w:lang w:val="fr-CA"/>
        </w:rPr>
        <w:t xml:space="preserve"> immédiate dans des conditions humides et sèches.</w:t>
      </w:r>
    </w:p>
    <w:p w14:paraId="33E34054" w14:textId="105EA3F3" w:rsidR="008B2CC5" w:rsidRDefault="008B2CC5" w:rsidP="008B2CC5">
      <w:pPr>
        <w:pStyle w:val="Heading4"/>
      </w:pPr>
      <w:r>
        <w:t>Configuration</w:t>
      </w:r>
    </w:p>
    <w:p w14:paraId="1D757075" w14:textId="6DA96C75" w:rsidR="008B2CC5" w:rsidRPr="00D61146" w:rsidRDefault="00042FA8" w:rsidP="008B2CC5">
      <w:pPr>
        <w:rPr>
          <w:lang w:val="fr-CA"/>
        </w:rPr>
      </w:pPr>
      <w:r w:rsidRPr="00D61146">
        <w:rPr>
          <w:lang w:val="fr-CA"/>
        </w:rPr>
        <w:t>La configuration des indicateurs d</w:t>
      </w:r>
      <w:r w:rsidR="002D71BC">
        <w:rPr>
          <w:lang w:val="fr-CA"/>
        </w:rPr>
        <w:t>’</w:t>
      </w:r>
      <w:r w:rsidRPr="00D61146">
        <w:rPr>
          <w:lang w:val="fr-CA"/>
        </w:rPr>
        <w:t>a</w:t>
      </w:r>
      <w:r w:rsidR="00627493">
        <w:rPr>
          <w:lang w:val="fr-CA"/>
        </w:rPr>
        <w:t>vertissement</w:t>
      </w:r>
      <w:r w:rsidRPr="00D61146">
        <w:rPr>
          <w:lang w:val="fr-CA"/>
        </w:rPr>
        <w:t xml:space="preserve"> est importante pour assurer leur efficacité lors de l</w:t>
      </w:r>
      <w:r w:rsidR="002D71BC">
        <w:rPr>
          <w:lang w:val="fr-CA"/>
        </w:rPr>
        <w:t>’</w:t>
      </w:r>
      <w:r w:rsidRPr="00D61146">
        <w:rPr>
          <w:lang w:val="fr-CA"/>
        </w:rPr>
        <w:t>utilisation.</w:t>
      </w:r>
    </w:p>
    <w:p w14:paraId="56ECE439" w14:textId="3FACEB73" w:rsidR="00042FA8" w:rsidRDefault="0060142D" w:rsidP="00042FA8">
      <w:pPr>
        <w:pStyle w:val="Heading5"/>
      </w:pPr>
      <w:r>
        <w:t xml:space="preserve">Dispositions </w:t>
      </w:r>
      <w:proofErr w:type="spellStart"/>
      <w:r>
        <w:t>d</w:t>
      </w:r>
      <w:r w:rsidR="002D71BC">
        <w:t>’</w:t>
      </w:r>
      <w:r>
        <w:t>une</w:t>
      </w:r>
      <w:proofErr w:type="spellEnd"/>
      <w:r>
        <w:t xml:space="preserve"> </w:t>
      </w:r>
      <w:proofErr w:type="spellStart"/>
      <w:r>
        <w:t>seule</w:t>
      </w:r>
      <w:proofErr w:type="spellEnd"/>
      <w:r>
        <w:t xml:space="preserve"> plaque</w:t>
      </w:r>
    </w:p>
    <w:p w14:paraId="0BDF5142" w14:textId="02E2E1B3" w:rsidR="00F937FF" w:rsidRPr="00D61146" w:rsidRDefault="00F937FF" w:rsidP="00F937FF">
      <w:pPr>
        <w:rPr>
          <w:lang w:val="fr-CA"/>
        </w:rPr>
      </w:pPr>
      <w:r w:rsidRPr="00D61146">
        <w:rPr>
          <w:lang w:val="fr-CA"/>
        </w:rPr>
        <w:t>La conception des indicateurs d</w:t>
      </w:r>
      <w:r w:rsidR="002D71BC">
        <w:rPr>
          <w:lang w:val="fr-CA"/>
        </w:rPr>
        <w:t>’</w:t>
      </w:r>
      <w:r w:rsidRPr="00D61146">
        <w:rPr>
          <w:lang w:val="fr-CA"/>
        </w:rPr>
        <w:t>a</w:t>
      </w:r>
      <w:r w:rsidR="00627493">
        <w:rPr>
          <w:lang w:val="fr-CA"/>
        </w:rPr>
        <w:t>vertissement</w:t>
      </w:r>
      <w:r w:rsidRPr="00D61146">
        <w:rPr>
          <w:lang w:val="fr-CA"/>
        </w:rPr>
        <w:t xml:space="preserve"> doit</w:t>
      </w:r>
      <w:r w:rsidR="00F1547A">
        <w:rPr>
          <w:lang w:val="fr-CA"/>
        </w:rPr>
        <w:t> </w:t>
      </w:r>
      <w:r w:rsidRPr="00D61146">
        <w:rPr>
          <w:lang w:val="fr-CA"/>
        </w:rPr>
        <w:t>:</w:t>
      </w:r>
    </w:p>
    <w:p w14:paraId="113D16E3" w14:textId="01A5868B" w:rsidR="00F937FF" w:rsidRPr="00D61146" w:rsidRDefault="00C85682" w:rsidP="003F66F0">
      <w:pPr>
        <w:pStyle w:val="ListRef"/>
        <w:numPr>
          <w:ilvl w:val="0"/>
          <w:numId w:val="33"/>
        </w:numPr>
        <w:rPr>
          <w:lang w:val="fr-CA"/>
        </w:rPr>
      </w:pPr>
      <w:proofErr w:type="gramStart"/>
      <w:r>
        <w:rPr>
          <w:lang w:val="fr-CA"/>
        </w:rPr>
        <w:t>a</w:t>
      </w:r>
      <w:r w:rsidR="005A44DD">
        <w:rPr>
          <w:lang w:val="fr-CA"/>
        </w:rPr>
        <w:t>voir</w:t>
      </w:r>
      <w:proofErr w:type="gramEnd"/>
      <w:r w:rsidR="005A44DD">
        <w:rPr>
          <w:lang w:val="fr-CA"/>
        </w:rPr>
        <w:t xml:space="preserve"> </w:t>
      </w:r>
      <w:r w:rsidR="00F937FF" w:rsidRPr="00D61146">
        <w:rPr>
          <w:lang w:val="fr-CA"/>
        </w:rPr>
        <w:t>des dômes tronqués ou des cônes positionnés selon un motif en grille carrée, soit aligné parallèlement, soit placés à un angle de 45° par rapport à la direction principale du déplacement; et</w:t>
      </w:r>
    </w:p>
    <w:p w14:paraId="6FA3C7FF" w14:textId="071A45CB" w:rsidR="00F937FF" w:rsidRPr="00D61146" w:rsidRDefault="00F937FF" w:rsidP="003F66F0">
      <w:pPr>
        <w:pStyle w:val="ListRef"/>
        <w:numPr>
          <w:ilvl w:val="0"/>
          <w:numId w:val="33"/>
        </w:numPr>
        <w:rPr>
          <w:lang w:val="fr-CA"/>
        </w:rPr>
      </w:pPr>
      <w:proofErr w:type="gramStart"/>
      <w:r w:rsidRPr="00D61146">
        <w:rPr>
          <w:lang w:val="fr-CA"/>
        </w:rPr>
        <w:t>avoir</w:t>
      </w:r>
      <w:proofErr w:type="gramEnd"/>
      <w:r w:rsidRPr="00D61146">
        <w:rPr>
          <w:lang w:val="fr-CA"/>
        </w:rPr>
        <w:t xml:space="preserve"> des bords biseautés ou à niveau avec la surface environnante (p</w:t>
      </w:r>
      <w:r w:rsidR="00DC18E8">
        <w:rPr>
          <w:lang w:val="fr-CA"/>
        </w:rPr>
        <w:t>.</w:t>
      </w:r>
      <w:r w:rsidR="006A7DB9">
        <w:rPr>
          <w:lang w:val="fr-CA"/>
        </w:rPr>
        <w:t xml:space="preserve"> </w:t>
      </w:r>
      <w:r w:rsidR="00DC18E8">
        <w:rPr>
          <w:lang w:val="fr-CA"/>
        </w:rPr>
        <w:t>ex</w:t>
      </w:r>
      <w:r w:rsidR="00A37EC8">
        <w:rPr>
          <w:lang w:val="fr-CA"/>
        </w:rPr>
        <w:t>.</w:t>
      </w:r>
      <w:r w:rsidRPr="00D61146">
        <w:rPr>
          <w:lang w:val="fr-CA"/>
        </w:rPr>
        <w:t>, hauteur de 3</w:t>
      </w:r>
      <w:r w:rsidR="00FA4FCB">
        <w:rPr>
          <w:lang w:val="fr-CA"/>
        </w:rPr>
        <w:t> </w:t>
      </w:r>
      <w:r w:rsidRPr="00D61146">
        <w:rPr>
          <w:lang w:val="fr-CA"/>
        </w:rPr>
        <w:t>mm ou moins) pour éviter de trébucher.</w:t>
      </w:r>
    </w:p>
    <w:p w14:paraId="443206E8" w14:textId="7B90C729" w:rsidR="00F937FF" w:rsidRPr="00D61146" w:rsidRDefault="00A37EC8" w:rsidP="00F937FF">
      <w:pPr>
        <w:rPr>
          <w:lang w:val="fr-CA"/>
        </w:rPr>
      </w:pPr>
      <w:r>
        <w:rPr>
          <w:rStyle w:val="EmphasisUseSparingly"/>
          <w:lang w:val="fr-CA"/>
        </w:rPr>
        <w:t>Remarque</w:t>
      </w:r>
      <w:r w:rsidR="00F1547A">
        <w:rPr>
          <w:rStyle w:val="EmphasisUseSparingly"/>
          <w:lang w:val="fr-CA"/>
        </w:rPr>
        <w:t> </w:t>
      </w:r>
      <w:r w:rsidR="00F937FF" w:rsidRPr="00D61146">
        <w:rPr>
          <w:rStyle w:val="EmphasisUseSparingly"/>
          <w:lang w:val="fr-CA"/>
        </w:rPr>
        <w:t>:</w:t>
      </w:r>
      <w:r w:rsidR="00F937FF" w:rsidRPr="00D61146">
        <w:rPr>
          <w:lang w:val="fr-CA"/>
        </w:rPr>
        <w:t xml:space="preserve"> La configuration diagonale est généralement plus facile à détecter pour les utilisateurs de cannes.</w:t>
      </w:r>
    </w:p>
    <w:p w14:paraId="635D6C33" w14:textId="5E42345E" w:rsidR="00F937FF" w:rsidRDefault="00D0692B" w:rsidP="00D0692B">
      <w:pPr>
        <w:pStyle w:val="Heading5"/>
      </w:pPr>
      <w:r>
        <w:t xml:space="preserve">Hauteur du </w:t>
      </w:r>
      <w:proofErr w:type="spellStart"/>
      <w:r>
        <w:t>dôme</w:t>
      </w:r>
      <w:proofErr w:type="spellEnd"/>
    </w:p>
    <w:p w14:paraId="5DEAF989" w14:textId="30D98B7E" w:rsidR="00B136AE" w:rsidRPr="002D0BA4" w:rsidRDefault="00B136AE" w:rsidP="002D0BA4">
      <w:pPr>
        <w:pStyle w:val="ListRef"/>
        <w:ind w:left="0" w:firstLine="0"/>
        <w:rPr>
          <w:lang w:val="fr-CA"/>
        </w:rPr>
      </w:pPr>
      <w:r w:rsidRPr="002D0BA4">
        <w:rPr>
          <w:lang w:val="fr-CA"/>
        </w:rPr>
        <w:t xml:space="preserve">Les dômes tronqués ou cônes doivent avoir </w:t>
      </w:r>
      <w:proofErr w:type="gramStart"/>
      <w:r w:rsidRPr="002D0BA4">
        <w:rPr>
          <w:lang w:val="fr-CA"/>
        </w:rPr>
        <w:t>une hauteur variant</w:t>
      </w:r>
      <w:proofErr w:type="gramEnd"/>
      <w:r w:rsidRPr="002D0BA4">
        <w:rPr>
          <w:lang w:val="fr-CA"/>
        </w:rPr>
        <w:t xml:space="preserve"> entre 4 et 5</w:t>
      </w:r>
      <w:r w:rsidR="00FA4FCB">
        <w:rPr>
          <w:lang w:val="fr-CA"/>
        </w:rPr>
        <w:t> </w:t>
      </w:r>
      <w:proofErr w:type="spellStart"/>
      <w:r w:rsidRPr="002D0BA4">
        <w:rPr>
          <w:lang w:val="fr-CA"/>
        </w:rPr>
        <w:t>mm.</w:t>
      </w:r>
      <w:proofErr w:type="spellEnd"/>
    </w:p>
    <w:p w14:paraId="05E41190" w14:textId="29200092" w:rsidR="00B136AE" w:rsidRPr="002D0BA4" w:rsidRDefault="000869D3" w:rsidP="00B136AE">
      <w:pPr>
        <w:rPr>
          <w:lang w:val="fr-CA"/>
        </w:rPr>
      </w:pPr>
      <w:r>
        <w:rPr>
          <w:rStyle w:val="EmphasisUseSparingly"/>
          <w:lang w:val="fr-CA"/>
        </w:rPr>
        <w:lastRenderedPageBreak/>
        <w:t>Remarque</w:t>
      </w:r>
      <w:r w:rsidR="00F1547A">
        <w:rPr>
          <w:rStyle w:val="EmphasisUseSparingly"/>
          <w:lang w:val="fr-CA"/>
        </w:rPr>
        <w:t> </w:t>
      </w:r>
      <w:r w:rsidR="00B136AE" w:rsidRPr="002D0BA4">
        <w:rPr>
          <w:rStyle w:val="EmphasisUseSparingly"/>
          <w:lang w:val="fr-CA"/>
        </w:rPr>
        <w:t>:</w:t>
      </w:r>
      <w:r w:rsidR="00B136AE" w:rsidRPr="002D0BA4">
        <w:rPr>
          <w:lang w:val="fr-CA"/>
        </w:rPr>
        <w:t xml:space="preserve"> Les dômes tronqués ou cônes sont plus visibles lorsqu</w:t>
      </w:r>
      <w:r w:rsidR="002D71BC">
        <w:rPr>
          <w:lang w:val="fr-CA"/>
        </w:rPr>
        <w:t>’</w:t>
      </w:r>
      <w:r w:rsidR="00B136AE" w:rsidRPr="002D0BA4">
        <w:rPr>
          <w:lang w:val="fr-CA"/>
        </w:rPr>
        <w:t>ils sont adjacents à des surfaces lisses comme le caoutchouc, le plastique ou le métal plutôt que sur des matériaux plus rugueux comme les pavés manufacturés ou le béton texturé.</w:t>
      </w:r>
    </w:p>
    <w:p w14:paraId="4519B290" w14:textId="5019975E" w:rsidR="00B136AE" w:rsidRDefault="00837677" w:rsidP="00B136AE">
      <w:pPr>
        <w:pStyle w:val="Heading5"/>
      </w:pPr>
      <w:bookmarkStart w:id="597" w:name="_Diamètre_du_dôme"/>
      <w:bookmarkEnd w:id="597"/>
      <w:proofErr w:type="spellStart"/>
      <w:r>
        <w:t>Diamètre</w:t>
      </w:r>
      <w:proofErr w:type="spellEnd"/>
      <w:r>
        <w:t xml:space="preserve"> du </w:t>
      </w:r>
      <w:proofErr w:type="spellStart"/>
      <w:r>
        <w:t>dôme</w:t>
      </w:r>
      <w:proofErr w:type="spellEnd"/>
    </w:p>
    <w:p w14:paraId="4DE0C9A0" w14:textId="0848DE42" w:rsidR="003A493C" w:rsidRPr="002D0BA4" w:rsidRDefault="003A493C" w:rsidP="003A493C">
      <w:pPr>
        <w:pStyle w:val="ListRef"/>
        <w:rPr>
          <w:lang w:val="fr-CA"/>
        </w:rPr>
      </w:pPr>
      <w:bookmarkStart w:id="598" w:name="_Hlk173275762"/>
      <w:r w:rsidRPr="002D0BA4">
        <w:rPr>
          <w:lang w:val="fr-CA"/>
        </w:rPr>
        <w:t>Les dômes ou cônes tronqués doivent</w:t>
      </w:r>
      <w:r w:rsidR="00F1547A">
        <w:rPr>
          <w:lang w:val="fr-CA"/>
        </w:rPr>
        <w:t> </w:t>
      </w:r>
      <w:r w:rsidRPr="002D0BA4">
        <w:rPr>
          <w:lang w:val="fr-CA"/>
        </w:rPr>
        <w:t>:</w:t>
      </w:r>
    </w:p>
    <w:p w14:paraId="43A3E46E" w14:textId="11AB067A" w:rsidR="003A493C" w:rsidRPr="002D0BA4" w:rsidRDefault="00EA4077" w:rsidP="003F66F0">
      <w:pPr>
        <w:pStyle w:val="ListRef"/>
        <w:numPr>
          <w:ilvl w:val="0"/>
          <w:numId w:val="34"/>
        </w:numPr>
        <w:rPr>
          <w:lang w:val="fr-CA"/>
        </w:rPr>
      </w:pPr>
      <w:proofErr w:type="gramStart"/>
      <w:r>
        <w:rPr>
          <w:lang w:val="fr-CA"/>
        </w:rPr>
        <w:t>avoir</w:t>
      </w:r>
      <w:proofErr w:type="gramEnd"/>
      <w:r w:rsidR="003A493C" w:rsidRPr="002D0BA4">
        <w:rPr>
          <w:lang w:val="fr-CA"/>
        </w:rPr>
        <w:t xml:space="preserve"> un diamètre supérieur </w:t>
      </w:r>
      <w:r w:rsidR="001E61EA">
        <w:rPr>
          <w:lang w:val="fr-CA"/>
        </w:rPr>
        <w:t xml:space="preserve">compris </w:t>
      </w:r>
      <w:r w:rsidR="003A493C" w:rsidRPr="002D0BA4">
        <w:rPr>
          <w:lang w:val="fr-CA"/>
        </w:rPr>
        <w:t>entre 12</w:t>
      </w:r>
      <w:r w:rsidR="00FA4FCB">
        <w:rPr>
          <w:lang w:val="fr-CA"/>
        </w:rPr>
        <w:t> </w:t>
      </w:r>
      <w:r w:rsidR="003A493C" w:rsidRPr="002D0BA4">
        <w:rPr>
          <w:lang w:val="fr-CA"/>
        </w:rPr>
        <w:t>mm et 25</w:t>
      </w:r>
      <w:r w:rsidR="003B2C52">
        <w:rPr>
          <w:lang w:val="fr-CA"/>
        </w:rPr>
        <w:t> </w:t>
      </w:r>
      <w:r w:rsidR="003A493C" w:rsidRPr="002D0BA4">
        <w:rPr>
          <w:lang w:val="fr-CA"/>
        </w:rPr>
        <w:t xml:space="preserve">mm, comme indiqué dans le tableau </w:t>
      </w:r>
      <w:r w:rsidR="003A493C">
        <w:fldChar w:fldCharType="begin"/>
      </w:r>
      <w:r w:rsidR="003A493C" w:rsidRPr="007C0FBA">
        <w:rPr>
          <w:lang w:val="fr-CA"/>
        </w:rPr>
        <w:instrText>HYPERLINK \l "Tableau3"</w:instrText>
      </w:r>
      <w:r w:rsidR="003A493C">
        <w:fldChar w:fldCharType="separate"/>
      </w:r>
      <w:r w:rsidR="003A493C" w:rsidRPr="00E01714">
        <w:rPr>
          <w:rStyle w:val="Hyperlink"/>
          <w:lang w:val="fr-CA"/>
        </w:rPr>
        <w:t>3</w:t>
      </w:r>
      <w:r w:rsidR="003A493C">
        <w:fldChar w:fldCharType="end"/>
      </w:r>
      <w:r w:rsidR="003A493C" w:rsidRPr="002D0BA4">
        <w:rPr>
          <w:lang w:val="fr-CA"/>
        </w:rPr>
        <w:t>;</w:t>
      </w:r>
    </w:p>
    <w:p w14:paraId="5FDF40B8" w14:textId="189B840D" w:rsidR="007C725F" w:rsidRPr="005A0E10" w:rsidRDefault="007C725F" w:rsidP="003F66F0">
      <w:pPr>
        <w:pStyle w:val="ListRef"/>
        <w:numPr>
          <w:ilvl w:val="0"/>
          <w:numId w:val="34"/>
        </w:numPr>
        <w:rPr>
          <w:lang w:val="fr-CA"/>
        </w:rPr>
      </w:pPr>
      <w:proofErr w:type="gramStart"/>
      <w:r w:rsidRPr="002D0BA4">
        <w:rPr>
          <w:lang w:val="fr-CA"/>
        </w:rPr>
        <w:t>avoir</w:t>
      </w:r>
      <w:proofErr w:type="gramEnd"/>
      <w:r w:rsidRPr="002D0BA4">
        <w:rPr>
          <w:lang w:val="fr-CA"/>
        </w:rPr>
        <w:t xml:space="preserve"> le diamètre inférieur </w:t>
      </w:r>
      <w:r w:rsidR="00495E68">
        <w:rPr>
          <w:lang w:val="fr-CA"/>
        </w:rPr>
        <w:t>9</w:t>
      </w:r>
      <w:r w:rsidR="003B2C52">
        <w:rPr>
          <w:lang w:val="fr-CA"/>
        </w:rPr>
        <w:t> </w:t>
      </w:r>
      <w:r w:rsidRPr="002D0BA4">
        <w:rPr>
          <w:lang w:val="fr-CA"/>
        </w:rPr>
        <w:t>mm</w:t>
      </w:r>
      <w:r w:rsidR="00495E68">
        <w:rPr>
          <w:lang w:val="fr-CA"/>
        </w:rPr>
        <w:t xml:space="preserve"> </w:t>
      </w:r>
      <w:r w:rsidR="00A57AF7">
        <w:rPr>
          <w:lang w:val="fr-CA"/>
        </w:rPr>
        <w:t>à</w:t>
      </w:r>
      <w:r w:rsidRPr="002D0BA4">
        <w:rPr>
          <w:lang w:val="fr-CA"/>
        </w:rPr>
        <w:t xml:space="preserve"> 1</w:t>
      </w:r>
      <w:r w:rsidR="00A57AF7">
        <w:rPr>
          <w:lang w:val="fr-CA"/>
        </w:rPr>
        <w:t>1</w:t>
      </w:r>
      <w:r w:rsidR="003B2C52">
        <w:rPr>
          <w:lang w:val="fr-CA"/>
        </w:rPr>
        <w:t> </w:t>
      </w:r>
      <w:r w:rsidRPr="002D0BA4">
        <w:rPr>
          <w:lang w:val="fr-CA"/>
        </w:rPr>
        <w:t>mm plus grand</w:t>
      </w:r>
      <w:r w:rsidR="00070DCB">
        <w:rPr>
          <w:lang w:val="fr-CA"/>
        </w:rPr>
        <w:t>s</w:t>
      </w:r>
      <w:r w:rsidRPr="002D0BA4">
        <w:rPr>
          <w:lang w:val="fr-CA"/>
        </w:rPr>
        <w:t xml:space="preserve"> que le diamètre supérieur; et</w:t>
      </w:r>
    </w:p>
    <w:p w14:paraId="017F309F" w14:textId="3EDAD72F" w:rsidR="003A493C" w:rsidRPr="002D0BA4" w:rsidRDefault="00211BB9" w:rsidP="003F66F0">
      <w:pPr>
        <w:pStyle w:val="ListRef"/>
        <w:numPr>
          <w:ilvl w:val="0"/>
          <w:numId w:val="34"/>
        </w:numPr>
        <w:rPr>
          <w:lang w:val="fr-CA"/>
        </w:rPr>
      </w:pPr>
      <w:proofErr w:type="gramStart"/>
      <w:r>
        <w:rPr>
          <w:lang w:val="fr-CA"/>
        </w:rPr>
        <w:t>avoir</w:t>
      </w:r>
      <w:proofErr w:type="gramEnd"/>
      <w:r>
        <w:rPr>
          <w:lang w:val="fr-CA"/>
        </w:rPr>
        <w:t xml:space="preserve"> une </w:t>
      </w:r>
      <w:r w:rsidR="003A493C" w:rsidRPr="002D0BA4">
        <w:rPr>
          <w:lang w:val="fr-CA"/>
        </w:rPr>
        <w:t xml:space="preserve">variation permise du diamètre supérieur </w:t>
      </w:r>
      <w:r w:rsidR="00783F18">
        <w:rPr>
          <w:lang w:val="fr-CA"/>
        </w:rPr>
        <w:t xml:space="preserve">qui </w:t>
      </w:r>
      <w:r w:rsidR="003A493C" w:rsidRPr="002D0BA4">
        <w:rPr>
          <w:lang w:val="fr-CA"/>
        </w:rPr>
        <w:t>ne dépasse pas ±1</w:t>
      </w:r>
      <w:r w:rsidR="003B2C52">
        <w:rPr>
          <w:lang w:val="fr-CA"/>
        </w:rPr>
        <w:t> </w:t>
      </w:r>
      <w:proofErr w:type="spellStart"/>
      <w:r w:rsidR="003A493C" w:rsidRPr="002D0BA4">
        <w:rPr>
          <w:lang w:val="fr-CA"/>
        </w:rPr>
        <w:t>mm.</w:t>
      </w:r>
      <w:proofErr w:type="spellEnd"/>
    </w:p>
    <w:bookmarkEnd w:id="598"/>
    <w:p w14:paraId="27274BD5" w14:textId="3A64D372" w:rsidR="003A493C" w:rsidRPr="002D0BA4" w:rsidRDefault="00783F18" w:rsidP="003A493C">
      <w:pPr>
        <w:rPr>
          <w:lang w:val="fr-CA"/>
        </w:rPr>
      </w:pPr>
      <w:r>
        <w:rPr>
          <w:rStyle w:val="EmphasisUseSparingly"/>
          <w:lang w:val="fr-CA"/>
        </w:rPr>
        <w:t>Remarque</w:t>
      </w:r>
      <w:r w:rsidR="00F1547A">
        <w:rPr>
          <w:rStyle w:val="EmphasisUseSparingly"/>
          <w:lang w:val="fr-CA"/>
        </w:rPr>
        <w:t> </w:t>
      </w:r>
      <w:r w:rsidR="003A493C" w:rsidRPr="002D0BA4">
        <w:rPr>
          <w:rStyle w:val="EmphasisUseSparingly"/>
          <w:lang w:val="fr-CA"/>
        </w:rPr>
        <w:t>:</w:t>
      </w:r>
      <w:r w:rsidR="003A493C" w:rsidRPr="002D0BA4">
        <w:rPr>
          <w:lang w:val="fr-CA"/>
        </w:rPr>
        <w:t xml:space="preserve"> Un diamètre supérieur de 12</w:t>
      </w:r>
      <w:r w:rsidR="003B2C52">
        <w:rPr>
          <w:lang w:val="fr-CA"/>
        </w:rPr>
        <w:t> </w:t>
      </w:r>
      <w:r w:rsidR="003A493C" w:rsidRPr="002D0BA4">
        <w:rPr>
          <w:lang w:val="fr-CA"/>
        </w:rPr>
        <w:t xml:space="preserve">mm est considéré comme la taille la plus efficace pour </w:t>
      </w:r>
      <w:r w:rsidR="00A31C31">
        <w:rPr>
          <w:lang w:val="fr-CA"/>
        </w:rPr>
        <w:t>permettre</w:t>
      </w:r>
      <w:r w:rsidR="003A493C" w:rsidRPr="002D0BA4">
        <w:rPr>
          <w:lang w:val="fr-CA"/>
        </w:rPr>
        <w:t xml:space="preserve"> </w:t>
      </w:r>
      <w:r w:rsidR="00A31C31">
        <w:rPr>
          <w:lang w:val="fr-CA"/>
        </w:rPr>
        <w:t>aux</w:t>
      </w:r>
      <w:r w:rsidR="003A493C" w:rsidRPr="002D0BA4">
        <w:rPr>
          <w:lang w:val="fr-CA"/>
        </w:rPr>
        <w:t xml:space="preserve"> individus</w:t>
      </w:r>
      <w:r w:rsidR="00A31C31">
        <w:rPr>
          <w:lang w:val="fr-CA"/>
        </w:rPr>
        <w:t xml:space="preserve"> de</w:t>
      </w:r>
      <w:r w:rsidR="003A493C" w:rsidRPr="002D0BA4">
        <w:rPr>
          <w:lang w:val="fr-CA"/>
        </w:rPr>
        <w:t xml:space="preserve"> détect</w:t>
      </w:r>
      <w:r w:rsidR="00A31C31">
        <w:rPr>
          <w:lang w:val="fr-CA"/>
        </w:rPr>
        <w:t>er</w:t>
      </w:r>
      <w:r w:rsidR="003A493C" w:rsidRPr="002D0BA4">
        <w:rPr>
          <w:lang w:val="fr-CA"/>
        </w:rPr>
        <w:t xml:space="preserve"> et </w:t>
      </w:r>
      <w:r w:rsidR="00A31C31">
        <w:rPr>
          <w:lang w:val="fr-CA"/>
        </w:rPr>
        <w:t xml:space="preserve">de </w:t>
      </w:r>
      <w:r w:rsidR="003A493C" w:rsidRPr="002D0BA4">
        <w:rPr>
          <w:lang w:val="fr-CA"/>
        </w:rPr>
        <w:t>différencie</w:t>
      </w:r>
      <w:r w:rsidR="00A31C31">
        <w:rPr>
          <w:lang w:val="fr-CA"/>
        </w:rPr>
        <w:t>r</w:t>
      </w:r>
      <w:r w:rsidR="009354E4">
        <w:rPr>
          <w:lang w:val="fr-CA"/>
        </w:rPr>
        <w:t xml:space="preserve"> les objets</w:t>
      </w:r>
      <w:r w:rsidR="003A493C" w:rsidRPr="002D0BA4">
        <w:rPr>
          <w:lang w:val="fr-CA"/>
        </w:rPr>
        <w:t xml:space="preserve"> à travers la semelle de leurs chaussures.</w:t>
      </w:r>
    </w:p>
    <w:p w14:paraId="5C1C482E" w14:textId="77777777" w:rsidR="003C24D1" w:rsidRDefault="003C24D1">
      <w:pPr>
        <w:keepLines w:val="0"/>
        <w:spacing w:before="0" w:beforeAutospacing="0" w:line="259" w:lineRule="auto"/>
        <w:rPr>
          <w:b/>
          <w:bCs/>
          <w:lang w:val="fr-CA"/>
        </w:rPr>
      </w:pPr>
      <w:bookmarkStart w:id="599" w:name="Tableau3"/>
      <w:r>
        <w:rPr>
          <w:b/>
          <w:bCs/>
          <w:lang w:val="fr-CA"/>
        </w:rPr>
        <w:br w:type="page"/>
      </w:r>
    </w:p>
    <w:p w14:paraId="30931064" w14:textId="235056BD" w:rsidR="00E86D31" w:rsidRDefault="00653DA5" w:rsidP="00653DA5">
      <w:pPr>
        <w:rPr>
          <w:lang w:val="fr-CA"/>
        </w:rPr>
      </w:pPr>
      <w:r w:rsidRPr="004422CC">
        <w:rPr>
          <w:b/>
          <w:bCs/>
          <w:lang w:val="fr-CA"/>
        </w:rPr>
        <w:lastRenderedPageBreak/>
        <w:t xml:space="preserve">Tableau 3 </w:t>
      </w:r>
      <w:bookmarkEnd w:id="599"/>
      <w:r w:rsidRPr="004422CC">
        <w:rPr>
          <w:b/>
          <w:bCs/>
          <w:lang w:val="fr-CA"/>
        </w:rPr>
        <w:t>- Combinaisons de diamètre et d</w:t>
      </w:r>
      <w:r w:rsidR="002D71BC">
        <w:rPr>
          <w:b/>
          <w:bCs/>
          <w:lang w:val="fr-CA"/>
        </w:rPr>
        <w:t>’</w:t>
      </w:r>
      <w:r w:rsidRPr="004422CC">
        <w:rPr>
          <w:b/>
          <w:bCs/>
          <w:lang w:val="fr-CA"/>
        </w:rPr>
        <w:t>espacement du dôme</w:t>
      </w:r>
    </w:p>
    <w:p w14:paraId="5DE0D655" w14:textId="149C8275" w:rsidR="006D7DF9" w:rsidRDefault="006D7DF9" w:rsidP="00653DA5">
      <w:pPr>
        <w:rPr>
          <w:lang w:val="fr-CA"/>
        </w:rPr>
      </w:pPr>
      <w:r>
        <w:rPr>
          <w:lang w:val="fr-CA"/>
        </w:rPr>
        <w:t>(</w:t>
      </w:r>
      <w:r w:rsidR="009F3025">
        <w:rPr>
          <w:lang w:val="fr-CA"/>
        </w:rPr>
        <w:t xml:space="preserve">Voir articles </w:t>
      </w:r>
      <w:r w:rsidR="009F3025">
        <w:fldChar w:fldCharType="begin"/>
      </w:r>
      <w:r w:rsidR="009F3025" w:rsidRPr="007C0FBA">
        <w:rPr>
          <w:lang w:val="fr-CA"/>
        </w:rPr>
        <w:instrText>HYPERLINK \l "_Diamètre_du_dôme"</w:instrText>
      </w:r>
      <w:r w:rsidR="009F3025">
        <w:fldChar w:fldCharType="separate"/>
      </w:r>
      <w:r w:rsidR="009F3025" w:rsidRPr="009F3025">
        <w:rPr>
          <w:rStyle w:val="Hyperlink"/>
          <w:lang w:val="fr-CA"/>
        </w:rPr>
        <w:t>11.4.2.5.3</w:t>
      </w:r>
      <w:r w:rsidR="009F3025">
        <w:fldChar w:fldCharType="end"/>
      </w:r>
      <w:r w:rsidR="009F3025">
        <w:rPr>
          <w:lang w:val="fr-CA"/>
        </w:rPr>
        <w:t xml:space="preserve"> et </w:t>
      </w:r>
      <w:r w:rsidR="009F3025">
        <w:fldChar w:fldCharType="begin"/>
      </w:r>
      <w:r w:rsidR="009F3025" w:rsidRPr="007C0FBA">
        <w:rPr>
          <w:lang w:val="fr-CA"/>
        </w:rPr>
        <w:instrText>HYPERLINK \l "_Espacement_des_dômes"</w:instrText>
      </w:r>
      <w:r w:rsidR="009F3025">
        <w:fldChar w:fldCharType="separate"/>
      </w:r>
      <w:r w:rsidR="009F3025" w:rsidRPr="009F3025">
        <w:rPr>
          <w:rStyle w:val="Hyperlink"/>
          <w:lang w:val="fr-CA"/>
        </w:rPr>
        <w:t>11.4.2.5.4</w:t>
      </w:r>
      <w:r w:rsidR="009F3025">
        <w:fldChar w:fldCharType="end"/>
      </w:r>
      <w:r w:rsidR="009F3025">
        <w:rPr>
          <w:lang w:val="fr-CA"/>
        </w:rPr>
        <w:t>)</w:t>
      </w:r>
    </w:p>
    <w:p w14:paraId="6E551320" w14:textId="549900FC" w:rsidR="00653DA5" w:rsidRPr="002D0BA4" w:rsidRDefault="002F43B8" w:rsidP="00653DA5">
      <w:pPr>
        <w:rPr>
          <w:lang w:val="fr-CA"/>
        </w:rPr>
      </w:pPr>
      <w:r w:rsidRPr="002F43B8">
        <w:rPr>
          <w:lang w:val="fr-CA"/>
        </w:rPr>
        <w:t>Ce tableau indique les exigences en matière de diamètre supérieur, de diamètre de base et d</w:t>
      </w:r>
      <w:r w:rsidR="002D71BC">
        <w:rPr>
          <w:lang w:val="fr-CA"/>
        </w:rPr>
        <w:t>’</w:t>
      </w:r>
      <w:r w:rsidRPr="002F43B8">
        <w:rPr>
          <w:lang w:val="fr-CA"/>
        </w:rPr>
        <w:t>espacement pour les dômes ou cônes à sommet plat.</w:t>
      </w:r>
    </w:p>
    <w:tbl>
      <w:tblPr>
        <w:tblStyle w:val="TableGrid"/>
        <w:tblW w:w="9360" w:type="dxa"/>
        <w:tblLayout w:type="fixed"/>
        <w:tblLook w:val="06A0" w:firstRow="1" w:lastRow="0" w:firstColumn="1" w:lastColumn="0" w:noHBand="1" w:noVBand="1"/>
      </w:tblPr>
      <w:tblGrid>
        <w:gridCol w:w="3120"/>
        <w:gridCol w:w="3120"/>
        <w:gridCol w:w="3120"/>
      </w:tblGrid>
      <w:tr w:rsidR="00653DA5" w:rsidRPr="007C0FBA" w14:paraId="3FC6656E" w14:textId="77777777">
        <w:trPr>
          <w:cnfStyle w:val="100000000000" w:firstRow="1" w:lastRow="0" w:firstColumn="0" w:lastColumn="0" w:oddVBand="0" w:evenVBand="0" w:oddHBand="0" w:evenHBand="0" w:firstRowFirstColumn="0" w:firstRowLastColumn="0" w:lastRowFirstColumn="0" w:lastRowLastColumn="0"/>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BB5C0" w14:textId="77777777" w:rsidR="00653DA5" w:rsidRPr="002D0BA4" w:rsidRDefault="00653DA5" w:rsidP="00653DA5">
            <w:pPr>
              <w:rPr>
                <w:lang w:val="fr-CA"/>
              </w:rPr>
            </w:pPr>
            <w:r w:rsidRPr="002D0BA4">
              <w:rPr>
                <w:lang w:val="fr-CA"/>
              </w:rPr>
              <w:t>Diamètre supérieur des dômes ou cônes à sommet plat (mm)</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85BCB" w14:textId="045BB14B" w:rsidR="00653DA5" w:rsidRPr="002D0BA4" w:rsidRDefault="00653DA5" w:rsidP="00653DA5">
            <w:pPr>
              <w:rPr>
                <w:lang w:val="fr-CA"/>
              </w:rPr>
            </w:pPr>
            <w:r w:rsidRPr="002D0BA4">
              <w:rPr>
                <w:lang w:val="fr-CA"/>
              </w:rPr>
              <w:t>Diamètre de base des dômes ou cônes à sommet plat (mm)</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65ACF" w14:textId="3814ECF7" w:rsidR="00653DA5" w:rsidRPr="002D0BA4" w:rsidRDefault="00653DA5" w:rsidP="00653DA5">
            <w:pPr>
              <w:rPr>
                <w:lang w:val="fr-CA"/>
              </w:rPr>
            </w:pPr>
            <w:r w:rsidRPr="002D0BA4">
              <w:rPr>
                <w:lang w:val="fr-CA"/>
              </w:rPr>
              <w:t>Espacement entre les centres des dômes ou cônes adjacents</w:t>
            </w:r>
          </w:p>
        </w:tc>
      </w:tr>
      <w:tr w:rsidR="00653DA5" w14:paraId="1A621D1C" w14:textId="77777777">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E0993" w14:textId="77777777" w:rsidR="00653DA5" w:rsidRPr="00653DA5" w:rsidRDefault="00653DA5" w:rsidP="00653DA5">
            <w:r w:rsidRPr="002977F3">
              <w:t>12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2135C" w14:textId="100613A9" w:rsidR="00653DA5" w:rsidRPr="00653DA5" w:rsidRDefault="00653DA5" w:rsidP="00653DA5">
            <w:r w:rsidRPr="002977F3">
              <w:t>2</w:t>
            </w:r>
            <w:r w:rsidR="00D12C55">
              <w:t xml:space="preserve">1 </w:t>
            </w:r>
            <w:r w:rsidR="004B1EFC" w:rsidRPr="002977F3">
              <w:t>à</w:t>
            </w:r>
            <w:r w:rsidR="00D12C55">
              <w:t xml:space="preserve"> 23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D8AC9" w14:textId="77777777" w:rsidR="00653DA5" w:rsidRPr="00653DA5" w:rsidRDefault="00653DA5" w:rsidP="00653DA5">
            <w:r w:rsidRPr="002977F3">
              <w:t>42 à 61</w:t>
            </w:r>
          </w:p>
        </w:tc>
      </w:tr>
      <w:tr w:rsidR="00653DA5" w14:paraId="5393FD60" w14:textId="77777777">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377B7" w14:textId="77777777" w:rsidR="00653DA5" w:rsidRPr="00653DA5" w:rsidRDefault="00653DA5" w:rsidP="00653DA5">
            <w:r w:rsidRPr="002977F3">
              <w:t>15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47854" w14:textId="765E2E11" w:rsidR="00653DA5" w:rsidRPr="00653DA5" w:rsidRDefault="00653DA5" w:rsidP="00653DA5">
            <w:r w:rsidRPr="002977F3">
              <w:t>2</w:t>
            </w:r>
            <w:r w:rsidR="00D12C55">
              <w:t xml:space="preserve">4 </w:t>
            </w:r>
            <w:r w:rsidR="004B1EFC" w:rsidRPr="002977F3">
              <w:t>à</w:t>
            </w:r>
            <w:r w:rsidR="00D12C55">
              <w:t xml:space="preserve"> 26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907FB" w14:textId="77777777" w:rsidR="00653DA5" w:rsidRPr="00653DA5" w:rsidRDefault="00653DA5" w:rsidP="00653DA5">
            <w:r w:rsidRPr="002977F3">
              <w:t>45 à 63</w:t>
            </w:r>
          </w:p>
        </w:tc>
      </w:tr>
      <w:tr w:rsidR="00653DA5" w14:paraId="21C91697" w14:textId="77777777">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6C39DE" w14:textId="77777777" w:rsidR="00653DA5" w:rsidRPr="00653DA5" w:rsidRDefault="00653DA5" w:rsidP="00653DA5">
            <w:r w:rsidRPr="002977F3">
              <w:t>18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F4EC5E" w14:textId="4210B531" w:rsidR="00653DA5" w:rsidRPr="00653DA5" w:rsidRDefault="00653DA5" w:rsidP="00653DA5">
            <w:r w:rsidRPr="002977F3">
              <w:t>2</w:t>
            </w:r>
            <w:r w:rsidR="00D12C55">
              <w:t xml:space="preserve">7 </w:t>
            </w:r>
            <w:r w:rsidR="004B1EFC" w:rsidRPr="002977F3">
              <w:t>à</w:t>
            </w:r>
            <w:r w:rsidR="00D12C55">
              <w:t xml:space="preserve"> 29</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C8939" w14:textId="77777777" w:rsidR="00653DA5" w:rsidRPr="00653DA5" w:rsidRDefault="00653DA5" w:rsidP="00653DA5">
            <w:r w:rsidRPr="002977F3">
              <w:t>48 à 65</w:t>
            </w:r>
          </w:p>
        </w:tc>
      </w:tr>
      <w:tr w:rsidR="00653DA5" w14:paraId="2FD1B5A4" w14:textId="77777777">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47240" w14:textId="77777777" w:rsidR="00653DA5" w:rsidRPr="00653DA5" w:rsidRDefault="00653DA5" w:rsidP="00653DA5">
            <w:r w:rsidRPr="002977F3">
              <w:t>20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FE176" w14:textId="084779BD" w:rsidR="00653DA5" w:rsidRPr="00653DA5" w:rsidRDefault="004B1EFC" w:rsidP="00653DA5">
            <w:r>
              <w:t xml:space="preserve">29 </w:t>
            </w:r>
            <w:r w:rsidRPr="002977F3">
              <w:t>à</w:t>
            </w:r>
            <w:r>
              <w:t xml:space="preserve"> 31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92809" w14:textId="77777777" w:rsidR="00653DA5" w:rsidRPr="00653DA5" w:rsidRDefault="00653DA5" w:rsidP="00653DA5">
            <w:r w:rsidRPr="002977F3">
              <w:t>50 à 68</w:t>
            </w:r>
          </w:p>
        </w:tc>
      </w:tr>
      <w:tr w:rsidR="00653DA5" w14:paraId="3A78EAB2" w14:textId="77777777">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21C49" w14:textId="77777777" w:rsidR="00653DA5" w:rsidRPr="00653DA5" w:rsidRDefault="00653DA5" w:rsidP="00653DA5">
            <w:r w:rsidRPr="002977F3">
              <w:t>25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3EFD6" w14:textId="75E01684" w:rsidR="00653DA5" w:rsidRPr="00653DA5" w:rsidRDefault="00653DA5" w:rsidP="00653DA5">
            <w:r w:rsidRPr="002977F3">
              <w:t>3</w:t>
            </w:r>
            <w:r w:rsidR="004B1EFC">
              <w:t xml:space="preserve">4 </w:t>
            </w:r>
            <w:r w:rsidR="004B1EFC" w:rsidRPr="002977F3">
              <w:t>à</w:t>
            </w:r>
            <w:r w:rsidR="004B1EFC">
              <w:t xml:space="preserve"> 36 </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4E459" w14:textId="77777777" w:rsidR="00653DA5" w:rsidRPr="00653DA5" w:rsidRDefault="00653DA5" w:rsidP="00653DA5">
            <w:r w:rsidRPr="002977F3">
              <w:t>55 à 70</w:t>
            </w:r>
          </w:p>
        </w:tc>
      </w:tr>
    </w:tbl>
    <w:p w14:paraId="22A63925" w14:textId="15D3869E" w:rsidR="00B136AE" w:rsidRDefault="002D322D" w:rsidP="002D322D">
      <w:pPr>
        <w:pStyle w:val="Heading5"/>
      </w:pPr>
      <w:bookmarkStart w:id="600" w:name="_Espacement_des_dômes"/>
      <w:bookmarkEnd w:id="600"/>
      <w:proofErr w:type="spellStart"/>
      <w:r>
        <w:t>Espacement</w:t>
      </w:r>
      <w:proofErr w:type="spellEnd"/>
      <w:r>
        <w:t xml:space="preserve"> des </w:t>
      </w:r>
      <w:proofErr w:type="spellStart"/>
      <w:r>
        <w:t>dômes</w:t>
      </w:r>
      <w:proofErr w:type="spellEnd"/>
    </w:p>
    <w:p w14:paraId="75A9B423" w14:textId="2C4FE346" w:rsidR="002D322D" w:rsidRPr="004719C7" w:rsidRDefault="00BE32DD" w:rsidP="002D322D">
      <w:pPr>
        <w:rPr>
          <w:lang w:val="fr-CA"/>
        </w:rPr>
      </w:pPr>
      <w:r w:rsidRPr="004719C7">
        <w:rPr>
          <w:lang w:val="fr-CA"/>
        </w:rPr>
        <w:t>L</w:t>
      </w:r>
      <w:r w:rsidR="002D71BC">
        <w:rPr>
          <w:lang w:val="fr-CA"/>
        </w:rPr>
        <w:t>’</w:t>
      </w:r>
      <w:r w:rsidRPr="004719C7">
        <w:rPr>
          <w:lang w:val="fr-CA"/>
        </w:rPr>
        <w:t>espacement des dômes doit avoir une distance minimale entre les points centraux de deux dômes ou cônes tronqués voisins, qu</w:t>
      </w:r>
      <w:r w:rsidR="002D71BC">
        <w:rPr>
          <w:lang w:val="fr-CA"/>
        </w:rPr>
        <w:t>’</w:t>
      </w:r>
      <w:r w:rsidRPr="004719C7">
        <w:rPr>
          <w:lang w:val="fr-CA"/>
        </w:rPr>
        <w:t xml:space="preserve">ils soient alignés parallèlement ou à un angle diagonal de 45° par rapport à la direction de déplacement, conformément aux plages spécifiées dans le tableau </w:t>
      </w:r>
      <w:r>
        <w:fldChar w:fldCharType="begin"/>
      </w:r>
      <w:r w:rsidRPr="007C0FBA">
        <w:rPr>
          <w:lang w:val="fr-CA"/>
        </w:rPr>
        <w:instrText>HYPERLINK \l "Tableau3"</w:instrText>
      </w:r>
      <w:r>
        <w:fldChar w:fldCharType="separate"/>
      </w:r>
      <w:r w:rsidRPr="004719C7">
        <w:rPr>
          <w:rStyle w:val="Hyperlink"/>
          <w:lang w:val="fr-CA"/>
        </w:rPr>
        <w:t>3</w:t>
      </w:r>
      <w:r>
        <w:fldChar w:fldCharType="end"/>
      </w:r>
      <w:r w:rsidR="00B53571" w:rsidRPr="004719C7">
        <w:rPr>
          <w:lang w:val="fr-CA"/>
        </w:rPr>
        <w:t>.</w:t>
      </w:r>
    </w:p>
    <w:p w14:paraId="49B34539" w14:textId="0814898D" w:rsidR="00B53571" w:rsidRDefault="00423C0A" w:rsidP="00BD35CA">
      <w:pPr>
        <w:pStyle w:val="Heading5"/>
      </w:pPr>
      <w:r>
        <w:t xml:space="preserve">Dimensions des </w:t>
      </w:r>
      <w:proofErr w:type="spellStart"/>
      <w:r>
        <w:t>indicateurs</w:t>
      </w:r>
      <w:proofErr w:type="spellEnd"/>
      <w:r>
        <w:t xml:space="preserve"> </w:t>
      </w:r>
      <w:proofErr w:type="spellStart"/>
      <w:r>
        <w:t>d</w:t>
      </w:r>
      <w:r w:rsidR="002D71BC">
        <w:t>’</w:t>
      </w:r>
      <w:r>
        <w:t>a</w:t>
      </w:r>
      <w:r w:rsidR="00627493">
        <w:t>vertissement</w:t>
      </w:r>
      <w:proofErr w:type="spellEnd"/>
    </w:p>
    <w:p w14:paraId="7D0F3C12" w14:textId="65B2E714" w:rsidR="00423C0A" w:rsidRPr="004719C7" w:rsidRDefault="00423C0A" w:rsidP="00423C0A">
      <w:pPr>
        <w:rPr>
          <w:lang w:val="fr-CA"/>
        </w:rPr>
      </w:pPr>
      <w:r w:rsidRPr="004719C7">
        <w:rPr>
          <w:lang w:val="fr-CA"/>
        </w:rPr>
        <w:t xml:space="preserve">Cet </w:t>
      </w:r>
      <w:r w:rsidR="003A7E48">
        <w:rPr>
          <w:lang w:val="fr-CA"/>
        </w:rPr>
        <w:t>article</w:t>
      </w:r>
      <w:r w:rsidRPr="004719C7">
        <w:rPr>
          <w:lang w:val="fr-CA"/>
        </w:rPr>
        <w:t xml:space="preserve"> ne s</w:t>
      </w:r>
      <w:r w:rsidR="002D71BC">
        <w:rPr>
          <w:lang w:val="fr-CA"/>
        </w:rPr>
        <w:t>’</w:t>
      </w:r>
      <w:r w:rsidRPr="004719C7">
        <w:rPr>
          <w:lang w:val="fr-CA"/>
        </w:rPr>
        <w:t>applique pas aux quais ferroviaires, où les lois, règlements et normes nationaux prévalent.</w:t>
      </w:r>
    </w:p>
    <w:p w14:paraId="15A845C2" w14:textId="77777777" w:rsidR="00884713" w:rsidRPr="009B5CC1" w:rsidRDefault="00884713">
      <w:pPr>
        <w:keepLines w:val="0"/>
        <w:spacing w:before="0" w:beforeAutospacing="0" w:line="259" w:lineRule="auto"/>
        <w:rPr>
          <w:lang w:val="fr-CA"/>
        </w:rPr>
      </w:pPr>
      <w:r w:rsidRPr="009B5CC1">
        <w:rPr>
          <w:lang w:val="fr-CA"/>
        </w:rPr>
        <w:br w:type="page"/>
      </w:r>
    </w:p>
    <w:p w14:paraId="4C808316" w14:textId="583573CC" w:rsidR="00423C0A" w:rsidRDefault="00423C0A" w:rsidP="00423C0A">
      <w:r>
        <w:lastRenderedPageBreak/>
        <w:t xml:space="preserve">Les </w:t>
      </w:r>
      <w:proofErr w:type="spellStart"/>
      <w:r>
        <w:t>indicateurs</w:t>
      </w:r>
      <w:proofErr w:type="spellEnd"/>
      <w:r>
        <w:t xml:space="preserve"> </w:t>
      </w:r>
      <w:proofErr w:type="spellStart"/>
      <w:r>
        <w:t>d</w:t>
      </w:r>
      <w:r w:rsidR="002D71BC">
        <w:t>’</w:t>
      </w:r>
      <w:r>
        <w:t>a</w:t>
      </w:r>
      <w:r w:rsidR="00627493">
        <w:t>vertissement</w:t>
      </w:r>
      <w:proofErr w:type="spellEnd"/>
      <w:r w:rsidR="00627493">
        <w:t xml:space="preserve"> </w:t>
      </w:r>
      <w:proofErr w:type="spellStart"/>
      <w:proofErr w:type="gramStart"/>
      <w:r>
        <w:t>doivent</w:t>
      </w:r>
      <w:proofErr w:type="spellEnd"/>
      <w:r w:rsidR="00F1547A">
        <w:t> </w:t>
      </w:r>
      <w:r>
        <w:t>:</w:t>
      </w:r>
      <w:proofErr w:type="gramEnd"/>
    </w:p>
    <w:p w14:paraId="7931C944" w14:textId="19C9CEAC" w:rsidR="00423C0A" w:rsidRPr="004719C7" w:rsidRDefault="00423C0A" w:rsidP="003F66F0">
      <w:pPr>
        <w:pStyle w:val="ListParagraph"/>
        <w:numPr>
          <w:ilvl w:val="0"/>
          <w:numId w:val="35"/>
        </w:numPr>
        <w:rPr>
          <w:lang w:val="fr-CA"/>
        </w:rPr>
      </w:pPr>
      <w:proofErr w:type="gramStart"/>
      <w:r w:rsidRPr="004719C7">
        <w:rPr>
          <w:lang w:val="fr-CA"/>
        </w:rPr>
        <w:t>être</w:t>
      </w:r>
      <w:proofErr w:type="gramEnd"/>
      <w:r w:rsidRPr="004719C7">
        <w:rPr>
          <w:lang w:val="fr-CA"/>
        </w:rPr>
        <w:t xml:space="preserve"> installés sur toute la largeur du danger lorsqu</w:t>
      </w:r>
      <w:r w:rsidR="002D71BC">
        <w:rPr>
          <w:lang w:val="fr-CA"/>
        </w:rPr>
        <w:t>’</w:t>
      </w:r>
      <w:r w:rsidRPr="004719C7">
        <w:rPr>
          <w:lang w:val="fr-CA"/>
        </w:rPr>
        <w:t>ils sont utilisés comme indicateurs de danger;</w:t>
      </w:r>
    </w:p>
    <w:p w14:paraId="306081A1" w14:textId="149CE2A7" w:rsidR="00423C0A" w:rsidRPr="004719C7" w:rsidRDefault="00DC6EB2" w:rsidP="003F66F0">
      <w:pPr>
        <w:pStyle w:val="ListParagraph"/>
        <w:numPr>
          <w:ilvl w:val="0"/>
          <w:numId w:val="35"/>
        </w:numPr>
        <w:rPr>
          <w:lang w:val="fr-CA"/>
        </w:rPr>
      </w:pPr>
      <w:proofErr w:type="gramStart"/>
      <w:r>
        <w:rPr>
          <w:lang w:val="fr-CA"/>
        </w:rPr>
        <w:t>avoir</w:t>
      </w:r>
      <w:proofErr w:type="gramEnd"/>
      <w:r>
        <w:rPr>
          <w:lang w:val="fr-CA"/>
        </w:rPr>
        <w:t xml:space="preserve"> </w:t>
      </w:r>
      <w:r w:rsidR="00423C0A" w:rsidRPr="004719C7">
        <w:rPr>
          <w:lang w:val="fr-CA"/>
        </w:rPr>
        <w:t>une profondeur entre 600</w:t>
      </w:r>
      <w:r w:rsidR="003B2C52">
        <w:rPr>
          <w:lang w:val="fr-CA"/>
        </w:rPr>
        <w:t> </w:t>
      </w:r>
      <w:r w:rsidR="00423C0A" w:rsidRPr="004719C7">
        <w:rPr>
          <w:lang w:val="fr-CA"/>
        </w:rPr>
        <w:t>mm et 650</w:t>
      </w:r>
      <w:r w:rsidR="003B2C52">
        <w:rPr>
          <w:lang w:val="fr-CA"/>
        </w:rPr>
        <w:t> </w:t>
      </w:r>
      <w:r w:rsidR="00423C0A" w:rsidRPr="004719C7">
        <w:rPr>
          <w:lang w:val="fr-CA"/>
        </w:rPr>
        <w:t>mm, avec un côté aligné sur le bord du danger; et</w:t>
      </w:r>
    </w:p>
    <w:p w14:paraId="73040A62" w14:textId="3CE1B0CF" w:rsidR="00423C0A" w:rsidRPr="00877353" w:rsidRDefault="00423C0A" w:rsidP="003F66F0">
      <w:pPr>
        <w:pStyle w:val="ListParagraph"/>
        <w:numPr>
          <w:ilvl w:val="0"/>
          <w:numId w:val="35"/>
        </w:numPr>
        <w:rPr>
          <w:lang w:val="fr-CA"/>
        </w:rPr>
      </w:pPr>
      <w:proofErr w:type="gramStart"/>
      <w:r w:rsidRPr="00877353">
        <w:rPr>
          <w:lang w:val="fr-CA"/>
        </w:rPr>
        <w:t>avoir</w:t>
      </w:r>
      <w:proofErr w:type="gramEnd"/>
      <w:r w:rsidRPr="00877353">
        <w:rPr>
          <w:lang w:val="fr-CA"/>
        </w:rPr>
        <w:t xml:space="preserve"> une profondeur accrue pour améliorer la détectabilité et permettre une distance d</w:t>
      </w:r>
      <w:r w:rsidR="002D71BC">
        <w:rPr>
          <w:lang w:val="fr-CA"/>
        </w:rPr>
        <w:t>’</w:t>
      </w:r>
      <w:r w:rsidRPr="00877353">
        <w:rPr>
          <w:lang w:val="fr-CA"/>
        </w:rPr>
        <w:t>arrêt plus longue lorsqu</w:t>
      </w:r>
      <w:r w:rsidR="002D71BC">
        <w:rPr>
          <w:lang w:val="fr-CA"/>
        </w:rPr>
        <w:t>’</w:t>
      </w:r>
      <w:r w:rsidRPr="00877353">
        <w:rPr>
          <w:lang w:val="fr-CA"/>
        </w:rPr>
        <w:t>il n</w:t>
      </w:r>
      <w:r w:rsidR="002D71BC">
        <w:rPr>
          <w:lang w:val="fr-CA"/>
        </w:rPr>
        <w:t>’</w:t>
      </w:r>
      <w:r w:rsidRPr="00877353">
        <w:rPr>
          <w:lang w:val="fr-CA"/>
        </w:rPr>
        <w:t>y a pas de recul.</w:t>
      </w:r>
    </w:p>
    <w:p w14:paraId="16A9CEC0" w14:textId="448FCFC7" w:rsidR="00423C0A" w:rsidRDefault="00327007" w:rsidP="00327007">
      <w:pPr>
        <w:pStyle w:val="Heading3"/>
      </w:pPr>
      <w:bookmarkStart w:id="601" w:name="_Toc219706209"/>
      <w:r>
        <w:t>Surfaces indicatrices de direction</w:t>
      </w:r>
      <w:bookmarkEnd w:id="601"/>
    </w:p>
    <w:p w14:paraId="3D11631D" w14:textId="31759A14" w:rsidR="00327007" w:rsidRPr="004768F7" w:rsidRDefault="00327007" w:rsidP="00327007">
      <w:pPr>
        <w:rPr>
          <w:lang w:val="fr-CA"/>
        </w:rPr>
      </w:pPr>
      <w:r w:rsidRPr="004768F7">
        <w:rPr>
          <w:lang w:val="fr-CA"/>
        </w:rPr>
        <w:t>Avant d</w:t>
      </w:r>
      <w:r w:rsidR="002D71BC">
        <w:rPr>
          <w:lang w:val="fr-CA"/>
        </w:rPr>
        <w:t>’</w:t>
      </w:r>
      <w:r w:rsidRPr="004768F7">
        <w:rPr>
          <w:lang w:val="fr-CA"/>
        </w:rPr>
        <w:t>installer les indicateurs de direction, il faut recueillir les informations des utilisateurs et effectuer des tests utilisateurs. La constance est primordiale lors de l</w:t>
      </w:r>
      <w:r w:rsidR="002D71BC">
        <w:rPr>
          <w:lang w:val="fr-CA"/>
        </w:rPr>
        <w:t>’</w:t>
      </w:r>
      <w:r w:rsidRPr="004768F7">
        <w:rPr>
          <w:lang w:val="fr-CA"/>
        </w:rPr>
        <w:t>installation de ces fonctionnalités. Les surfaces des indicateurs de direction peuvent être installées dans les terminaux et stations de transport, ainsi que dans les espaces ouverts comme les places ou les espaces publics.</w:t>
      </w:r>
    </w:p>
    <w:p w14:paraId="14E55598" w14:textId="41C34A44" w:rsidR="00327007" w:rsidRDefault="005C17F7" w:rsidP="005C17F7">
      <w:pPr>
        <w:pStyle w:val="Heading4"/>
      </w:pPr>
      <w:proofErr w:type="spellStart"/>
      <w:r>
        <w:t>Général</w:t>
      </w:r>
      <w:proofErr w:type="spellEnd"/>
    </w:p>
    <w:p w14:paraId="638AB699" w14:textId="54F75355" w:rsidR="005C17F7" w:rsidRPr="004768F7" w:rsidRDefault="005C17F7" w:rsidP="005C17F7">
      <w:pPr>
        <w:rPr>
          <w:lang w:val="fr-CA"/>
        </w:rPr>
      </w:pPr>
      <w:r w:rsidRPr="004768F7">
        <w:rPr>
          <w:lang w:val="fr-CA"/>
        </w:rPr>
        <w:t>Dans les grands espaces ou espaces ouverts, un</w:t>
      </w:r>
      <w:r w:rsidR="00070DCB">
        <w:rPr>
          <w:lang w:val="fr-CA"/>
        </w:rPr>
        <w:t>e</w:t>
      </w:r>
      <w:r w:rsidRPr="004768F7">
        <w:rPr>
          <w:lang w:val="fr-CA"/>
        </w:rPr>
        <w:t xml:space="preserve"> </w:t>
      </w:r>
      <w:r w:rsidR="00846DEE">
        <w:rPr>
          <w:lang w:val="fr-CA"/>
        </w:rPr>
        <w:t>voie</w:t>
      </w:r>
      <w:r w:rsidRPr="004768F7">
        <w:rPr>
          <w:lang w:val="fr-CA"/>
        </w:rPr>
        <w:t xml:space="preserve"> tactile ou une ligne de guidage pour la navigation est nécessaire.</w:t>
      </w:r>
    </w:p>
    <w:p w14:paraId="5B8BFE39" w14:textId="0DB1F310" w:rsidR="005C17F7" w:rsidRPr="004768F7" w:rsidRDefault="005C17F7" w:rsidP="005C17F7">
      <w:pPr>
        <w:rPr>
          <w:lang w:val="fr-CA"/>
        </w:rPr>
      </w:pPr>
      <w:r w:rsidRPr="004768F7">
        <w:rPr>
          <w:lang w:val="fr-CA"/>
        </w:rPr>
        <w:t>Les indicateurs de direction doivent</w:t>
      </w:r>
      <w:r w:rsidR="00F1547A">
        <w:rPr>
          <w:lang w:val="fr-CA"/>
        </w:rPr>
        <w:t> </w:t>
      </w:r>
      <w:r w:rsidRPr="004768F7">
        <w:rPr>
          <w:lang w:val="fr-CA"/>
        </w:rPr>
        <w:t>:</w:t>
      </w:r>
    </w:p>
    <w:p w14:paraId="24A4A71A" w14:textId="27EC5748" w:rsidR="005C17F7" w:rsidRPr="004768F7" w:rsidRDefault="005C17F7" w:rsidP="003F66F0">
      <w:pPr>
        <w:pStyle w:val="ListRef"/>
        <w:numPr>
          <w:ilvl w:val="0"/>
          <w:numId w:val="36"/>
        </w:numPr>
        <w:rPr>
          <w:lang w:val="fr-CA"/>
        </w:rPr>
      </w:pPr>
      <w:proofErr w:type="gramStart"/>
      <w:r w:rsidRPr="004768F7">
        <w:rPr>
          <w:lang w:val="fr-CA"/>
        </w:rPr>
        <w:t>être</w:t>
      </w:r>
      <w:proofErr w:type="gramEnd"/>
      <w:r w:rsidRPr="004768F7">
        <w:rPr>
          <w:lang w:val="fr-CA"/>
        </w:rPr>
        <w:t xml:space="preserve"> utilisé</w:t>
      </w:r>
      <w:r w:rsidR="001E07C2">
        <w:rPr>
          <w:lang w:val="fr-CA"/>
        </w:rPr>
        <w:t>s</w:t>
      </w:r>
      <w:r w:rsidRPr="004768F7">
        <w:rPr>
          <w:lang w:val="fr-CA"/>
        </w:rPr>
        <w:t xml:space="preserve"> pour indiquer l</w:t>
      </w:r>
      <w:r w:rsidR="002D71BC">
        <w:rPr>
          <w:lang w:val="fr-CA"/>
        </w:rPr>
        <w:t>’</w:t>
      </w:r>
      <w:r w:rsidRPr="004768F7">
        <w:rPr>
          <w:lang w:val="fr-CA"/>
        </w:rPr>
        <w:t>orientation directionnelle, surtout là où aucun autre indice dans l</w:t>
      </w:r>
      <w:r w:rsidR="002D71BC">
        <w:rPr>
          <w:lang w:val="fr-CA"/>
        </w:rPr>
        <w:t>’</w:t>
      </w:r>
      <w:r w:rsidRPr="004768F7">
        <w:rPr>
          <w:lang w:val="fr-CA"/>
        </w:rPr>
        <w:t>environnement bâti n</w:t>
      </w:r>
      <w:r w:rsidR="002D71BC">
        <w:rPr>
          <w:lang w:val="fr-CA"/>
        </w:rPr>
        <w:t>’</w:t>
      </w:r>
      <w:r w:rsidRPr="004768F7">
        <w:rPr>
          <w:lang w:val="fr-CA"/>
        </w:rPr>
        <w:t>indique le chemin à suivre; et</w:t>
      </w:r>
    </w:p>
    <w:p w14:paraId="4F972673" w14:textId="7ED520EA" w:rsidR="005C17F7" w:rsidRPr="004768F7" w:rsidRDefault="002C190E" w:rsidP="003F66F0">
      <w:pPr>
        <w:pStyle w:val="ListRef"/>
        <w:numPr>
          <w:ilvl w:val="0"/>
          <w:numId w:val="36"/>
        </w:numPr>
        <w:rPr>
          <w:lang w:val="fr-CA"/>
        </w:rPr>
      </w:pPr>
      <w:proofErr w:type="gramStart"/>
      <w:r>
        <w:rPr>
          <w:lang w:val="fr-CA"/>
        </w:rPr>
        <w:t>pas</w:t>
      </w:r>
      <w:proofErr w:type="gramEnd"/>
      <w:r>
        <w:rPr>
          <w:lang w:val="fr-CA"/>
        </w:rPr>
        <w:t xml:space="preserve"> dépendre </w:t>
      </w:r>
      <w:r w:rsidR="005C17F7" w:rsidRPr="004768F7">
        <w:rPr>
          <w:lang w:val="fr-CA"/>
        </w:rPr>
        <w:t xml:space="preserve">des schémas de guidage naturels dans les zones où des situations dangereuses, comme </w:t>
      </w:r>
      <w:r w:rsidR="00FB4CEE">
        <w:rPr>
          <w:lang w:val="fr-CA"/>
        </w:rPr>
        <w:t>les allées</w:t>
      </w:r>
      <w:r w:rsidR="005C17F7" w:rsidRPr="004768F7">
        <w:rPr>
          <w:lang w:val="fr-CA"/>
        </w:rPr>
        <w:t xml:space="preserve"> ou les entrées d</w:t>
      </w:r>
      <w:r w:rsidR="004013CC">
        <w:rPr>
          <w:lang w:val="fr-CA"/>
        </w:rPr>
        <w:t>’automobile</w:t>
      </w:r>
      <w:r w:rsidR="005C17F7" w:rsidRPr="004768F7">
        <w:rPr>
          <w:lang w:val="fr-CA"/>
        </w:rPr>
        <w:t>, sont présentes.</w:t>
      </w:r>
    </w:p>
    <w:p w14:paraId="71B08D3E" w14:textId="1CD01864" w:rsidR="005C17F7" w:rsidRPr="004768F7" w:rsidRDefault="004013CC" w:rsidP="005C17F7">
      <w:pPr>
        <w:rPr>
          <w:lang w:val="fr-CA"/>
        </w:rPr>
      </w:pPr>
      <w:r>
        <w:rPr>
          <w:rStyle w:val="EmphasisUseSparingly"/>
          <w:lang w:val="fr-CA"/>
        </w:rPr>
        <w:lastRenderedPageBreak/>
        <w:t>Remarque</w:t>
      </w:r>
      <w:r w:rsidR="005C17F7" w:rsidRPr="004768F7">
        <w:rPr>
          <w:rStyle w:val="EmphasisUseSparingly"/>
          <w:lang w:val="fr-CA"/>
        </w:rPr>
        <w:t xml:space="preserve"> 1</w:t>
      </w:r>
      <w:r w:rsidR="00F1547A">
        <w:rPr>
          <w:rStyle w:val="EmphasisUseSparingly"/>
          <w:lang w:val="fr-CA"/>
        </w:rPr>
        <w:t> </w:t>
      </w:r>
      <w:r w:rsidR="005C17F7" w:rsidRPr="004768F7">
        <w:rPr>
          <w:rStyle w:val="EmphasisUseSparingly"/>
          <w:lang w:val="fr-CA"/>
        </w:rPr>
        <w:t>:</w:t>
      </w:r>
      <w:r w:rsidR="00D72727" w:rsidRPr="004768F7">
        <w:rPr>
          <w:lang w:val="fr-CA"/>
        </w:rPr>
        <w:t xml:space="preserve"> Les indicateurs de direction sont recommandés pour la sécurité et l</w:t>
      </w:r>
      <w:r w:rsidR="000E5CAE">
        <w:rPr>
          <w:lang w:val="fr-CA"/>
        </w:rPr>
        <w:t>’orientation</w:t>
      </w:r>
      <w:r w:rsidR="00D72727" w:rsidRPr="004768F7">
        <w:rPr>
          <w:lang w:val="fr-CA"/>
        </w:rPr>
        <w:t xml:space="preserve"> en milieu extérieur.</w:t>
      </w:r>
    </w:p>
    <w:p w14:paraId="43A6C977" w14:textId="3C8AF643" w:rsidR="003B06EB" w:rsidRPr="004768F7" w:rsidRDefault="000E5CAE" w:rsidP="005C17F7">
      <w:pPr>
        <w:rPr>
          <w:lang w:val="fr-CA"/>
        </w:rPr>
      </w:pPr>
      <w:r>
        <w:rPr>
          <w:rStyle w:val="EmphasisUseSparingly"/>
          <w:lang w:val="fr-CA"/>
        </w:rPr>
        <w:t>Remarque</w:t>
      </w:r>
      <w:r w:rsidR="003B06EB" w:rsidRPr="004768F7">
        <w:rPr>
          <w:rStyle w:val="EmphasisUseSparingly"/>
          <w:lang w:val="fr-CA"/>
        </w:rPr>
        <w:t xml:space="preserve"> 2</w:t>
      </w:r>
      <w:r w:rsidR="00F1547A">
        <w:rPr>
          <w:rStyle w:val="EmphasisUseSparingly"/>
          <w:lang w:val="fr-CA"/>
        </w:rPr>
        <w:t> </w:t>
      </w:r>
      <w:r w:rsidR="003B06EB" w:rsidRPr="004768F7">
        <w:rPr>
          <w:rStyle w:val="EmphasisUseSparingly"/>
          <w:lang w:val="fr-CA"/>
        </w:rPr>
        <w:t>:</w:t>
      </w:r>
      <w:r w:rsidR="0031270A" w:rsidRPr="004768F7">
        <w:rPr>
          <w:lang w:val="fr-CA"/>
        </w:rPr>
        <w:t xml:space="preserve"> L</w:t>
      </w:r>
      <w:r w:rsidR="00A877EE">
        <w:rPr>
          <w:lang w:val="fr-CA"/>
        </w:rPr>
        <w:t>e trajet</w:t>
      </w:r>
      <w:r w:rsidR="0031270A" w:rsidRPr="004768F7">
        <w:rPr>
          <w:lang w:val="fr-CA"/>
        </w:rPr>
        <w:t xml:space="preserve"> désigné </w:t>
      </w:r>
      <w:r w:rsidR="00912A1E" w:rsidRPr="00912A1E">
        <w:rPr>
          <w:lang w:val="fr-CA"/>
        </w:rPr>
        <w:t>d</w:t>
      </w:r>
      <w:r w:rsidR="00912A1E">
        <w:rPr>
          <w:lang w:val="fr-CA"/>
        </w:rPr>
        <w:t>evra</w:t>
      </w:r>
      <w:r w:rsidR="00912A1E" w:rsidRPr="00912A1E">
        <w:rPr>
          <w:lang w:val="fr-CA"/>
        </w:rPr>
        <w:t>it relier l</w:t>
      </w:r>
      <w:r w:rsidR="002D71BC">
        <w:rPr>
          <w:lang w:val="fr-CA"/>
        </w:rPr>
        <w:t>’</w:t>
      </w:r>
      <w:r w:rsidR="00912A1E" w:rsidRPr="00912A1E">
        <w:rPr>
          <w:lang w:val="fr-CA"/>
        </w:rPr>
        <w:t>entrée à tous les endroits clés du site, y compris, mais sans s</w:t>
      </w:r>
      <w:r w:rsidR="002D71BC">
        <w:rPr>
          <w:lang w:val="fr-CA"/>
        </w:rPr>
        <w:t>’</w:t>
      </w:r>
      <w:r w:rsidR="00912A1E" w:rsidRPr="00912A1E">
        <w:rPr>
          <w:lang w:val="fr-CA"/>
        </w:rPr>
        <w:t>y limiter, les comptoirs de service, les ascenseurs, les escaliers et les escaliers roulants.</w:t>
      </w:r>
    </w:p>
    <w:p w14:paraId="7A550B05" w14:textId="03462CC4" w:rsidR="00E20849" w:rsidRPr="004768F7" w:rsidRDefault="003D3097" w:rsidP="005C17F7">
      <w:pPr>
        <w:rPr>
          <w:rStyle w:val="EmphasisUseSparingly"/>
          <w:lang w:val="fr-CA"/>
        </w:rPr>
      </w:pPr>
      <w:r>
        <w:rPr>
          <w:rStyle w:val="EmphasisUseSparingly"/>
          <w:lang w:val="fr-CA"/>
        </w:rPr>
        <w:t>Remarque</w:t>
      </w:r>
      <w:r w:rsidR="00E20849" w:rsidRPr="004768F7">
        <w:rPr>
          <w:rStyle w:val="EmphasisUseSparingly"/>
          <w:lang w:val="fr-CA"/>
        </w:rPr>
        <w:t xml:space="preserve"> 3</w:t>
      </w:r>
      <w:r w:rsidR="00F1547A">
        <w:rPr>
          <w:rStyle w:val="EmphasisUseSparingly"/>
          <w:lang w:val="fr-CA"/>
        </w:rPr>
        <w:t> </w:t>
      </w:r>
      <w:r w:rsidR="00E20849" w:rsidRPr="004768F7">
        <w:rPr>
          <w:rStyle w:val="EmphasisUseSparingly"/>
          <w:lang w:val="fr-CA"/>
        </w:rPr>
        <w:t>:</w:t>
      </w:r>
      <w:r w:rsidR="00E21700" w:rsidRPr="004768F7">
        <w:rPr>
          <w:lang w:val="fr-CA"/>
        </w:rPr>
        <w:t xml:space="preserve"> Un usage excessif des </w:t>
      </w:r>
      <w:r w:rsidR="00D20EB1">
        <w:rPr>
          <w:lang w:val="fr-CA"/>
        </w:rPr>
        <w:t>voies</w:t>
      </w:r>
      <w:r w:rsidR="00E21700" w:rsidRPr="004768F7">
        <w:rPr>
          <w:lang w:val="fr-CA"/>
        </w:rPr>
        <w:t xml:space="preserve"> des indicateurs directionnels</w:t>
      </w:r>
      <w:r w:rsidR="00D20EB1">
        <w:rPr>
          <w:lang w:val="fr-CA"/>
        </w:rPr>
        <w:t xml:space="preserve"> tactiles</w:t>
      </w:r>
      <w:r w:rsidR="00E21700" w:rsidRPr="004768F7">
        <w:rPr>
          <w:lang w:val="fr-CA"/>
        </w:rPr>
        <w:t xml:space="preserve"> peut entraîner de la confusion. Dans un espace confiné, comme un hall ou une installation de transport en commun, un ou deux </w:t>
      </w:r>
      <w:r w:rsidR="00C45384">
        <w:rPr>
          <w:lang w:val="fr-CA"/>
        </w:rPr>
        <w:t>voies</w:t>
      </w:r>
      <w:r w:rsidR="00E21700" w:rsidRPr="004768F7">
        <w:rPr>
          <w:lang w:val="fr-CA"/>
        </w:rPr>
        <w:t xml:space="preserve"> devraient suffire.</w:t>
      </w:r>
    </w:p>
    <w:p w14:paraId="2BD4A2EB" w14:textId="0F9E18B1" w:rsidR="005C17F7" w:rsidRPr="00DE4C6C" w:rsidRDefault="00A00EE9" w:rsidP="005C17F7">
      <w:pPr>
        <w:rPr>
          <w:lang w:val="fr-CA"/>
        </w:rPr>
      </w:pPr>
      <w:r>
        <w:rPr>
          <w:rStyle w:val="EmphasisUseSparingly"/>
          <w:lang w:val="fr-CA"/>
        </w:rPr>
        <w:t>Remarque</w:t>
      </w:r>
      <w:r w:rsidR="005C17F7" w:rsidRPr="004768F7">
        <w:rPr>
          <w:rStyle w:val="EmphasisUseSparingly"/>
          <w:lang w:val="fr-CA"/>
        </w:rPr>
        <w:t xml:space="preserve"> 4</w:t>
      </w:r>
      <w:r w:rsidR="00F1547A">
        <w:rPr>
          <w:rStyle w:val="EmphasisUseSparingly"/>
          <w:lang w:val="fr-CA"/>
        </w:rPr>
        <w:t> </w:t>
      </w:r>
      <w:r w:rsidR="005C17F7" w:rsidRPr="004768F7">
        <w:rPr>
          <w:rStyle w:val="EmphasisUseSparingly"/>
          <w:lang w:val="fr-CA"/>
        </w:rPr>
        <w:t xml:space="preserve">: </w:t>
      </w:r>
      <w:r w:rsidR="003C7F9C" w:rsidRPr="003C7F9C">
        <w:rPr>
          <w:rStyle w:val="EmphasisUseSparingly"/>
          <w:b w:val="0"/>
          <w:bCs/>
          <w:lang w:val="fr-CA"/>
        </w:rPr>
        <w:t>Certains éléments existants de l</w:t>
      </w:r>
      <w:r w:rsidR="002D71BC">
        <w:rPr>
          <w:rStyle w:val="EmphasisUseSparingly"/>
          <w:b w:val="0"/>
          <w:bCs/>
          <w:lang w:val="fr-CA"/>
        </w:rPr>
        <w:t>’</w:t>
      </w:r>
      <w:r w:rsidR="003C7F9C" w:rsidRPr="003C7F9C">
        <w:rPr>
          <w:rStyle w:val="EmphasisUseSparingly"/>
          <w:b w:val="0"/>
          <w:bCs/>
          <w:lang w:val="fr-CA"/>
        </w:rPr>
        <w:t>environnement bâti ou naturel fournissent des indices d</w:t>
      </w:r>
      <w:r w:rsidR="002D71BC">
        <w:rPr>
          <w:rStyle w:val="EmphasisUseSparingly"/>
          <w:b w:val="0"/>
          <w:bCs/>
          <w:lang w:val="fr-CA"/>
        </w:rPr>
        <w:t>’</w:t>
      </w:r>
      <w:r w:rsidR="003C7F9C" w:rsidRPr="003C7F9C">
        <w:rPr>
          <w:rStyle w:val="EmphasisUseSparingly"/>
          <w:b w:val="0"/>
          <w:bCs/>
          <w:lang w:val="fr-CA"/>
        </w:rPr>
        <w:t>orientation, de sorte que les surfaces indicatrices de direction peuvent ne pas être nécessaires. En voici quelques exemples</w:t>
      </w:r>
      <w:r w:rsidR="001C5600">
        <w:rPr>
          <w:rStyle w:val="EmphasisUseSparingly"/>
          <w:b w:val="0"/>
          <w:bCs/>
          <w:lang w:val="fr-CA"/>
        </w:rPr>
        <w:t> </w:t>
      </w:r>
      <w:r w:rsidR="003C7F9C" w:rsidRPr="003C7F9C">
        <w:rPr>
          <w:rStyle w:val="EmphasisUseSparingly"/>
          <w:b w:val="0"/>
          <w:bCs/>
          <w:lang w:val="fr-CA"/>
        </w:rPr>
        <w:t>:</w:t>
      </w:r>
    </w:p>
    <w:p w14:paraId="66172B60" w14:textId="24C33EE6" w:rsidR="00DA07C4" w:rsidRDefault="00331A74" w:rsidP="003F66F0">
      <w:pPr>
        <w:pStyle w:val="ListRef"/>
        <w:numPr>
          <w:ilvl w:val="0"/>
          <w:numId w:val="77"/>
        </w:numPr>
        <w:rPr>
          <w:lang w:val="fr-CA"/>
        </w:rPr>
      </w:pPr>
      <w:proofErr w:type="gramStart"/>
      <w:r w:rsidRPr="00331A74">
        <w:rPr>
          <w:lang w:val="fr-CA"/>
        </w:rPr>
        <w:t>un</w:t>
      </w:r>
      <w:proofErr w:type="gramEnd"/>
      <w:r w:rsidRPr="00331A74">
        <w:rPr>
          <w:lang w:val="fr-CA"/>
        </w:rPr>
        <w:t xml:space="preserve"> mur adjacent au trottoir s</w:t>
      </w:r>
      <w:r w:rsidR="002D71BC">
        <w:rPr>
          <w:lang w:val="fr-CA"/>
        </w:rPr>
        <w:t>’</w:t>
      </w:r>
      <w:r w:rsidRPr="00331A74">
        <w:rPr>
          <w:lang w:val="fr-CA"/>
        </w:rPr>
        <w:t>il est droit et qu</w:t>
      </w:r>
      <w:r w:rsidR="002D71BC">
        <w:rPr>
          <w:lang w:val="fr-CA"/>
        </w:rPr>
        <w:t>’</w:t>
      </w:r>
      <w:r w:rsidRPr="00331A74">
        <w:rPr>
          <w:lang w:val="fr-CA"/>
        </w:rPr>
        <w:t>il n</w:t>
      </w:r>
      <w:r w:rsidR="002D71BC">
        <w:rPr>
          <w:lang w:val="fr-CA"/>
        </w:rPr>
        <w:t>’</w:t>
      </w:r>
      <w:r w:rsidRPr="00331A74">
        <w:rPr>
          <w:lang w:val="fr-CA"/>
        </w:rPr>
        <w:t>y a pas d</w:t>
      </w:r>
      <w:r w:rsidR="002D71BC">
        <w:rPr>
          <w:lang w:val="fr-CA"/>
        </w:rPr>
        <w:t>’</w:t>
      </w:r>
      <w:r w:rsidRPr="00331A74">
        <w:rPr>
          <w:lang w:val="fr-CA"/>
        </w:rPr>
        <w:t>obstacles ou d</w:t>
      </w:r>
      <w:r w:rsidR="002D71BC">
        <w:rPr>
          <w:lang w:val="fr-CA"/>
        </w:rPr>
        <w:t>’</w:t>
      </w:r>
      <w:r w:rsidRPr="00331A74">
        <w:rPr>
          <w:lang w:val="fr-CA"/>
        </w:rPr>
        <w:t>autres dangers;</w:t>
      </w:r>
    </w:p>
    <w:p w14:paraId="02C7A099" w14:textId="2CD63B98" w:rsidR="00DA07C4" w:rsidRDefault="009D3360" w:rsidP="003F66F0">
      <w:pPr>
        <w:pStyle w:val="ListRef"/>
        <w:numPr>
          <w:ilvl w:val="0"/>
          <w:numId w:val="77"/>
        </w:numPr>
        <w:rPr>
          <w:lang w:val="fr-CA"/>
        </w:rPr>
      </w:pPr>
      <w:proofErr w:type="gramStart"/>
      <w:r w:rsidRPr="009D3360">
        <w:rPr>
          <w:lang w:val="fr-CA"/>
        </w:rPr>
        <w:t>un</w:t>
      </w:r>
      <w:proofErr w:type="gramEnd"/>
      <w:r w:rsidRPr="009D3360">
        <w:rPr>
          <w:lang w:val="fr-CA"/>
        </w:rPr>
        <w:t xml:space="preserve"> petit mur, une haie ou une bordure (c</w:t>
      </w:r>
      <w:r w:rsidR="00070DCB">
        <w:rPr>
          <w:lang w:val="fr-CA"/>
        </w:rPr>
        <w:t>.</w:t>
      </w:r>
      <w:r w:rsidRPr="009D3360">
        <w:rPr>
          <w:lang w:val="fr-CA"/>
        </w:rPr>
        <w:t>-à-d</w:t>
      </w:r>
      <w:r>
        <w:rPr>
          <w:lang w:val="fr-CA"/>
        </w:rPr>
        <w:t>.</w:t>
      </w:r>
      <w:r w:rsidRPr="009D3360">
        <w:rPr>
          <w:lang w:val="fr-CA"/>
        </w:rPr>
        <w:t xml:space="preserve"> qu</w:t>
      </w:r>
      <w:r w:rsidR="002D71BC">
        <w:rPr>
          <w:lang w:val="fr-CA"/>
        </w:rPr>
        <w:t>’</w:t>
      </w:r>
      <w:r w:rsidRPr="009D3360">
        <w:rPr>
          <w:lang w:val="fr-CA"/>
        </w:rPr>
        <w:t>il n</w:t>
      </w:r>
      <w:r w:rsidR="002D71BC">
        <w:rPr>
          <w:lang w:val="fr-CA"/>
        </w:rPr>
        <w:t>’</w:t>
      </w:r>
      <w:r w:rsidRPr="009D3360">
        <w:rPr>
          <w:lang w:val="fr-CA"/>
        </w:rPr>
        <w:t>y a pas d</w:t>
      </w:r>
      <w:r w:rsidR="002D71BC">
        <w:rPr>
          <w:lang w:val="fr-CA"/>
        </w:rPr>
        <w:t>’</w:t>
      </w:r>
      <w:r w:rsidRPr="009D3360">
        <w:rPr>
          <w:lang w:val="fr-CA"/>
        </w:rPr>
        <w:t>indicateurs acoustiques et que ces éléments ne peuvent être détectés qu</w:t>
      </w:r>
      <w:r w:rsidR="002D71BC">
        <w:rPr>
          <w:lang w:val="fr-CA"/>
        </w:rPr>
        <w:t>’</w:t>
      </w:r>
      <w:r w:rsidRPr="009D3360">
        <w:rPr>
          <w:lang w:val="fr-CA"/>
        </w:rPr>
        <w:t>à l</w:t>
      </w:r>
      <w:r w:rsidR="002D71BC">
        <w:rPr>
          <w:lang w:val="fr-CA"/>
        </w:rPr>
        <w:t>’</w:t>
      </w:r>
      <w:r w:rsidRPr="009D3360">
        <w:rPr>
          <w:lang w:val="fr-CA"/>
        </w:rPr>
        <w:t>aide d</w:t>
      </w:r>
      <w:r w:rsidR="002D71BC">
        <w:rPr>
          <w:lang w:val="fr-CA"/>
        </w:rPr>
        <w:t>’</w:t>
      </w:r>
      <w:r w:rsidRPr="009D3360">
        <w:rPr>
          <w:lang w:val="fr-CA"/>
        </w:rPr>
        <w:t>une canne blanche longue);</w:t>
      </w:r>
    </w:p>
    <w:p w14:paraId="79B33013" w14:textId="1F659244" w:rsidR="00DA07C4" w:rsidRDefault="00E20F6D" w:rsidP="003F66F0">
      <w:pPr>
        <w:pStyle w:val="ListRef"/>
        <w:numPr>
          <w:ilvl w:val="0"/>
          <w:numId w:val="77"/>
        </w:numPr>
        <w:rPr>
          <w:lang w:val="fr-CA"/>
        </w:rPr>
      </w:pPr>
      <w:proofErr w:type="gramStart"/>
      <w:r>
        <w:rPr>
          <w:lang w:val="fr-CA"/>
        </w:rPr>
        <w:t>u</w:t>
      </w:r>
      <w:r w:rsidR="005C17F7" w:rsidRPr="00DA07C4">
        <w:rPr>
          <w:lang w:val="fr-CA"/>
        </w:rPr>
        <w:t>ne</w:t>
      </w:r>
      <w:proofErr w:type="gramEnd"/>
      <w:r w:rsidR="005C17F7" w:rsidRPr="00DA07C4">
        <w:rPr>
          <w:lang w:val="fr-CA"/>
        </w:rPr>
        <w:t xml:space="preserve"> </w:t>
      </w:r>
      <w:r w:rsidR="0055589B">
        <w:rPr>
          <w:lang w:val="fr-CA"/>
        </w:rPr>
        <w:t>allée</w:t>
      </w:r>
      <w:r w:rsidR="005C17F7" w:rsidRPr="00DA07C4">
        <w:rPr>
          <w:lang w:val="fr-CA"/>
        </w:rPr>
        <w:t xml:space="preserve"> couverte </w:t>
      </w:r>
      <w:r w:rsidR="00E26C47" w:rsidRPr="00E26C47">
        <w:rPr>
          <w:lang w:val="fr-CA"/>
        </w:rPr>
        <w:t>qui fournit d</w:t>
      </w:r>
      <w:r w:rsidR="0040601F">
        <w:rPr>
          <w:lang w:val="fr-CA"/>
        </w:rPr>
        <w:t>es</w:t>
      </w:r>
      <w:r w:rsidR="00E26C47" w:rsidRPr="00E26C47">
        <w:rPr>
          <w:lang w:val="fr-CA"/>
        </w:rPr>
        <w:t xml:space="preserve"> </w:t>
      </w:r>
      <w:r w:rsidR="0040601F">
        <w:rPr>
          <w:lang w:val="fr-CA"/>
        </w:rPr>
        <w:t>indices</w:t>
      </w:r>
      <w:r w:rsidR="00E26C47" w:rsidRPr="00E26C47">
        <w:rPr>
          <w:lang w:val="fr-CA"/>
        </w:rPr>
        <w:t xml:space="preserve"> acoustiques pour s</w:t>
      </w:r>
      <w:r w:rsidR="002D71BC">
        <w:rPr>
          <w:lang w:val="fr-CA"/>
        </w:rPr>
        <w:t>’</w:t>
      </w:r>
      <w:r w:rsidR="00E26C47" w:rsidRPr="00E26C47">
        <w:rPr>
          <w:lang w:val="fr-CA"/>
        </w:rPr>
        <w:t>orienter</w:t>
      </w:r>
      <w:r w:rsidR="005C17F7" w:rsidRPr="00DA07C4">
        <w:rPr>
          <w:lang w:val="fr-CA"/>
        </w:rPr>
        <w:t>; et</w:t>
      </w:r>
    </w:p>
    <w:p w14:paraId="4F4DFD2A" w14:textId="3147E2AB" w:rsidR="005C17F7" w:rsidRPr="00DA07C4" w:rsidRDefault="00C219A8" w:rsidP="003F66F0">
      <w:pPr>
        <w:pStyle w:val="ListRef"/>
        <w:numPr>
          <w:ilvl w:val="0"/>
          <w:numId w:val="77"/>
        </w:numPr>
        <w:rPr>
          <w:lang w:val="fr-CA"/>
        </w:rPr>
      </w:pPr>
      <w:proofErr w:type="gramStart"/>
      <w:r w:rsidRPr="00C219A8">
        <w:rPr>
          <w:lang w:val="fr-CA"/>
        </w:rPr>
        <w:t>des</w:t>
      </w:r>
      <w:proofErr w:type="gramEnd"/>
      <w:r w:rsidRPr="00C219A8">
        <w:rPr>
          <w:lang w:val="fr-CA"/>
        </w:rPr>
        <w:t xml:space="preserve"> co</w:t>
      </w:r>
      <w:r w:rsidR="00985E56">
        <w:rPr>
          <w:lang w:val="fr-CA"/>
        </w:rPr>
        <w:t>rridors</w:t>
      </w:r>
      <w:r w:rsidRPr="00C219A8">
        <w:rPr>
          <w:lang w:val="fr-CA"/>
        </w:rPr>
        <w:t xml:space="preserve"> d</w:t>
      </w:r>
      <w:r w:rsidR="002D71BC">
        <w:rPr>
          <w:lang w:val="fr-CA"/>
        </w:rPr>
        <w:t>’</w:t>
      </w:r>
      <w:r w:rsidRPr="00C219A8">
        <w:rPr>
          <w:lang w:val="fr-CA"/>
        </w:rPr>
        <w:t>une largeur maximale de 3</w:t>
      </w:r>
      <w:r w:rsidR="003B2C52">
        <w:rPr>
          <w:lang w:val="fr-CA"/>
        </w:rPr>
        <w:t> </w:t>
      </w:r>
      <w:r w:rsidRPr="00C219A8">
        <w:rPr>
          <w:lang w:val="fr-CA"/>
        </w:rPr>
        <w:t>m à l</w:t>
      </w:r>
      <w:r w:rsidR="002D71BC">
        <w:rPr>
          <w:lang w:val="fr-CA"/>
        </w:rPr>
        <w:t>’</w:t>
      </w:r>
      <w:r w:rsidRPr="00C219A8">
        <w:rPr>
          <w:lang w:val="fr-CA"/>
        </w:rPr>
        <w:t>intérieur d</w:t>
      </w:r>
      <w:r w:rsidR="002D71BC">
        <w:rPr>
          <w:lang w:val="fr-CA"/>
        </w:rPr>
        <w:t>’</w:t>
      </w:r>
      <w:r w:rsidRPr="00C219A8">
        <w:rPr>
          <w:lang w:val="fr-CA"/>
        </w:rPr>
        <w:t>un bâtiment, exempts d</w:t>
      </w:r>
      <w:r w:rsidR="002D71BC">
        <w:rPr>
          <w:lang w:val="fr-CA"/>
        </w:rPr>
        <w:t>’</w:t>
      </w:r>
      <w:r w:rsidRPr="00C219A8">
        <w:rPr>
          <w:lang w:val="fr-CA"/>
        </w:rPr>
        <w:t xml:space="preserve">obstacles et dotés de repères acoustiques. </w:t>
      </w:r>
      <w:r w:rsidR="005C17F7" w:rsidRPr="00DA07C4">
        <w:rPr>
          <w:lang w:val="fr-CA"/>
        </w:rPr>
        <w:t>Cependant, si le corridor comprend des pièces ou des bureaux ouverts au public, un</w:t>
      </w:r>
      <w:r w:rsidR="00070DCB">
        <w:rPr>
          <w:lang w:val="fr-CA"/>
        </w:rPr>
        <w:t>e</w:t>
      </w:r>
      <w:r w:rsidR="005C17F7" w:rsidRPr="00DA07C4">
        <w:rPr>
          <w:lang w:val="fr-CA"/>
        </w:rPr>
        <w:t xml:space="preserve"> </w:t>
      </w:r>
      <w:r w:rsidR="00D25B86">
        <w:rPr>
          <w:lang w:val="fr-CA"/>
        </w:rPr>
        <w:t>voie</w:t>
      </w:r>
      <w:r w:rsidR="005C17F7" w:rsidRPr="00DA07C4">
        <w:rPr>
          <w:lang w:val="fr-CA"/>
        </w:rPr>
        <w:t xml:space="preserve"> tactile et une signalisation en braille/tactile sont essentiels.</w:t>
      </w:r>
    </w:p>
    <w:p w14:paraId="649FDA68" w14:textId="285E371A" w:rsidR="005C17F7" w:rsidRDefault="00AC0BD4" w:rsidP="00AC0BD4">
      <w:pPr>
        <w:pStyle w:val="Heading4"/>
      </w:pPr>
      <w:proofErr w:type="spellStart"/>
      <w:r>
        <w:t>Contraste</w:t>
      </w:r>
      <w:proofErr w:type="spellEnd"/>
      <w:r>
        <w:t xml:space="preserve"> de luminance</w:t>
      </w:r>
    </w:p>
    <w:p w14:paraId="7975582D" w14:textId="2DE72EE6" w:rsidR="00AC0BD4" w:rsidRPr="00DE4C6C" w:rsidRDefault="00AC0BD4" w:rsidP="00AC0BD4">
      <w:pPr>
        <w:pStyle w:val="ListRef"/>
        <w:rPr>
          <w:lang w:val="fr-CA"/>
        </w:rPr>
      </w:pPr>
      <w:r w:rsidRPr="00DE4C6C">
        <w:rPr>
          <w:lang w:val="fr-CA"/>
        </w:rPr>
        <w:t>Les indicateurs de direction doivent</w:t>
      </w:r>
      <w:r w:rsidR="001C5600">
        <w:rPr>
          <w:lang w:val="fr-CA"/>
        </w:rPr>
        <w:t> </w:t>
      </w:r>
      <w:r w:rsidRPr="00DE4C6C">
        <w:rPr>
          <w:lang w:val="fr-CA"/>
        </w:rPr>
        <w:t>:</w:t>
      </w:r>
    </w:p>
    <w:p w14:paraId="25C4A625" w14:textId="41B00DE6" w:rsidR="00AC0BD4" w:rsidRPr="00DE4C6C" w:rsidRDefault="00AC0BD4" w:rsidP="003F66F0">
      <w:pPr>
        <w:pStyle w:val="ListRef"/>
        <w:numPr>
          <w:ilvl w:val="0"/>
          <w:numId w:val="37"/>
        </w:numPr>
        <w:rPr>
          <w:lang w:val="fr-CA"/>
        </w:rPr>
      </w:pPr>
      <w:proofErr w:type="gramStart"/>
      <w:r w:rsidRPr="00DE4C6C">
        <w:rPr>
          <w:lang w:val="fr-CA"/>
        </w:rPr>
        <w:t>avoir</w:t>
      </w:r>
      <w:proofErr w:type="gramEnd"/>
      <w:r w:rsidRPr="00DE4C6C">
        <w:rPr>
          <w:lang w:val="fr-CA"/>
        </w:rPr>
        <w:t xml:space="preserve"> un contraste de luminance d</w:t>
      </w:r>
      <w:r w:rsidR="002D71BC">
        <w:rPr>
          <w:lang w:val="fr-CA"/>
        </w:rPr>
        <w:t>’</w:t>
      </w:r>
      <w:r w:rsidRPr="00DE4C6C">
        <w:rPr>
          <w:lang w:val="fr-CA"/>
        </w:rPr>
        <w:t>au moins 50</w:t>
      </w:r>
      <w:r w:rsidR="00D8285E">
        <w:rPr>
          <w:lang w:val="fr-CA"/>
        </w:rPr>
        <w:t> </w:t>
      </w:r>
      <w:r w:rsidRPr="00DE4C6C">
        <w:rPr>
          <w:lang w:val="fr-CA"/>
        </w:rPr>
        <w:t>% avec la surface environnante;</w:t>
      </w:r>
    </w:p>
    <w:p w14:paraId="04268D39" w14:textId="6E0777C9" w:rsidR="00AC0BD4" w:rsidRPr="00DE4C6C" w:rsidRDefault="00AC0BD4" w:rsidP="003F66F0">
      <w:pPr>
        <w:pStyle w:val="ListRef"/>
        <w:numPr>
          <w:ilvl w:val="0"/>
          <w:numId w:val="37"/>
        </w:numPr>
        <w:rPr>
          <w:lang w:val="fr-CA"/>
        </w:rPr>
      </w:pPr>
      <w:proofErr w:type="gramStart"/>
      <w:r w:rsidRPr="00DE4C6C">
        <w:rPr>
          <w:lang w:val="fr-CA"/>
        </w:rPr>
        <w:lastRenderedPageBreak/>
        <w:t>avoir</w:t>
      </w:r>
      <w:proofErr w:type="gramEnd"/>
      <w:r w:rsidRPr="00DE4C6C">
        <w:rPr>
          <w:lang w:val="fr-CA"/>
        </w:rPr>
        <w:t xml:space="preserve"> une bande de contraste de luminance continue adjacente d</w:t>
      </w:r>
      <w:r w:rsidR="002D71BC">
        <w:rPr>
          <w:lang w:val="fr-CA"/>
        </w:rPr>
        <w:t>’</w:t>
      </w:r>
      <w:r w:rsidRPr="00DE4C6C">
        <w:rPr>
          <w:lang w:val="fr-CA"/>
        </w:rPr>
        <w:t>au moins 100</w:t>
      </w:r>
      <w:r w:rsidR="003B2C52">
        <w:rPr>
          <w:lang w:val="fr-CA"/>
        </w:rPr>
        <w:t> </w:t>
      </w:r>
      <w:r w:rsidRPr="00DE4C6C">
        <w:rPr>
          <w:lang w:val="fr-CA"/>
        </w:rPr>
        <w:t>mm de large installée à côté lorsque le contraste requis n</w:t>
      </w:r>
      <w:r w:rsidR="002D71BC">
        <w:rPr>
          <w:lang w:val="fr-CA"/>
        </w:rPr>
        <w:t>’</w:t>
      </w:r>
      <w:r w:rsidRPr="00DE4C6C">
        <w:rPr>
          <w:lang w:val="fr-CA"/>
        </w:rPr>
        <w:t>est pas possible; et</w:t>
      </w:r>
    </w:p>
    <w:p w14:paraId="56046486" w14:textId="48077D87" w:rsidR="00AC0BD4" w:rsidRDefault="00AC0BD4" w:rsidP="003F66F0">
      <w:pPr>
        <w:pStyle w:val="ListRef"/>
        <w:numPr>
          <w:ilvl w:val="0"/>
          <w:numId w:val="37"/>
        </w:numPr>
      </w:pPr>
      <w:r w:rsidRPr="0099023D">
        <w:t xml:space="preserve">pas </w:t>
      </w:r>
      <w:proofErr w:type="spellStart"/>
      <w:r w:rsidRPr="0099023D">
        <w:t>être</w:t>
      </w:r>
      <w:proofErr w:type="spellEnd"/>
      <w:r w:rsidRPr="0099023D">
        <w:t xml:space="preserve"> jaune.</w:t>
      </w:r>
    </w:p>
    <w:p w14:paraId="32837D94" w14:textId="06986FBC" w:rsidR="00AC0BD4" w:rsidRPr="00441760" w:rsidRDefault="007D4AEF" w:rsidP="00AC0BD4">
      <w:pPr>
        <w:rPr>
          <w:lang w:val="fr-CA"/>
        </w:rPr>
      </w:pPr>
      <w:r w:rsidRPr="007D4AEF">
        <w:rPr>
          <w:rStyle w:val="EmphasisUseSparingly"/>
          <w:lang w:val="fr-CA"/>
        </w:rPr>
        <w:t>Re</w:t>
      </w:r>
      <w:r>
        <w:rPr>
          <w:rStyle w:val="EmphasisUseSparingly"/>
          <w:lang w:val="fr-CA"/>
        </w:rPr>
        <w:t>marque</w:t>
      </w:r>
      <w:r w:rsidR="001C5600">
        <w:rPr>
          <w:rStyle w:val="EmphasisUseSparingly"/>
          <w:lang w:val="fr-CA"/>
        </w:rPr>
        <w:t> </w:t>
      </w:r>
      <w:r w:rsidR="00AC0BD4" w:rsidRPr="00441760">
        <w:rPr>
          <w:rStyle w:val="EmphasisUseSparingly"/>
          <w:lang w:val="fr-CA"/>
        </w:rPr>
        <w:t>:</w:t>
      </w:r>
      <w:r w:rsidR="00AC0BD4" w:rsidRPr="00441760">
        <w:rPr>
          <w:lang w:val="fr-CA"/>
        </w:rPr>
        <w:t xml:space="preserve"> Les indicateurs directionnels ne sont pas jaunes pour les différencier des indicateurs d</w:t>
      </w:r>
      <w:r w:rsidR="002D71BC">
        <w:rPr>
          <w:lang w:val="fr-CA"/>
        </w:rPr>
        <w:t>’</w:t>
      </w:r>
      <w:r w:rsidR="00AC0BD4" w:rsidRPr="00441760">
        <w:rPr>
          <w:lang w:val="fr-CA"/>
        </w:rPr>
        <w:t>a</w:t>
      </w:r>
      <w:r w:rsidR="00DE5351">
        <w:rPr>
          <w:lang w:val="fr-CA"/>
        </w:rPr>
        <w:t>vertissement</w:t>
      </w:r>
      <w:r w:rsidR="00AC0BD4" w:rsidRPr="00441760">
        <w:rPr>
          <w:lang w:val="fr-CA"/>
        </w:rPr>
        <w:t>.</w:t>
      </w:r>
    </w:p>
    <w:p w14:paraId="6CD69C88" w14:textId="00C4DD78" w:rsidR="003950FA" w:rsidRDefault="009B20C4" w:rsidP="009B20C4">
      <w:pPr>
        <w:pStyle w:val="Heading4"/>
      </w:pPr>
      <w:r>
        <w:t>Configuration</w:t>
      </w:r>
    </w:p>
    <w:p w14:paraId="55F572B7" w14:textId="2673F8FC" w:rsidR="009B20C4" w:rsidRDefault="00AC4D8A" w:rsidP="009B20C4">
      <w:pPr>
        <w:pStyle w:val="Heading5"/>
      </w:pPr>
      <w:r>
        <w:t>Arrangements</w:t>
      </w:r>
    </w:p>
    <w:p w14:paraId="1A429C67" w14:textId="4F16F6EA" w:rsidR="00294D27" w:rsidRPr="00441760" w:rsidRDefault="00F96C89" w:rsidP="00F96C89">
      <w:pPr>
        <w:rPr>
          <w:lang w:val="fr-CA"/>
        </w:rPr>
      </w:pPr>
      <w:r w:rsidRPr="00441760">
        <w:rPr>
          <w:lang w:val="fr-CA"/>
        </w:rPr>
        <w:t>Un indicateur de direction doit être construit</w:t>
      </w:r>
      <w:r w:rsidR="000B6FEE">
        <w:rPr>
          <w:lang w:val="fr-CA"/>
        </w:rPr>
        <w:t xml:space="preserve"> </w:t>
      </w:r>
      <w:r w:rsidRPr="00441760">
        <w:rPr>
          <w:lang w:val="fr-CA"/>
        </w:rPr>
        <w:t>de barres allongées parallèles à sommet plat, avec un espacement maximal d</w:t>
      </w:r>
      <w:r w:rsidR="002D71BC">
        <w:rPr>
          <w:lang w:val="fr-CA"/>
        </w:rPr>
        <w:t>’un bout à l’</w:t>
      </w:r>
      <w:r w:rsidRPr="00441760">
        <w:rPr>
          <w:lang w:val="fr-CA"/>
        </w:rPr>
        <w:t>autre de 30</w:t>
      </w:r>
      <w:r w:rsidR="003B2C52">
        <w:rPr>
          <w:lang w:val="fr-CA"/>
        </w:rPr>
        <w:t> </w:t>
      </w:r>
      <w:r w:rsidRPr="00441760">
        <w:rPr>
          <w:lang w:val="fr-CA"/>
        </w:rPr>
        <w:t>mm, qui s</w:t>
      </w:r>
      <w:r w:rsidR="002D71BC">
        <w:rPr>
          <w:lang w:val="fr-CA"/>
        </w:rPr>
        <w:t>’</w:t>
      </w:r>
      <w:r w:rsidRPr="00441760">
        <w:rPr>
          <w:lang w:val="fr-CA"/>
        </w:rPr>
        <w:t>étendent dans le sens du déplacement.</w:t>
      </w:r>
    </w:p>
    <w:p w14:paraId="54350831" w14:textId="6B535D78" w:rsidR="00AC4D8A" w:rsidRDefault="009134F9" w:rsidP="009134F9">
      <w:pPr>
        <w:pStyle w:val="Heading5"/>
      </w:pPr>
      <w:r>
        <w:t>Hauteur des barres</w:t>
      </w:r>
    </w:p>
    <w:p w14:paraId="721AC7F0" w14:textId="0EF8588B" w:rsidR="009134F9" w:rsidRPr="00441760" w:rsidRDefault="009134F9" w:rsidP="009134F9">
      <w:pPr>
        <w:rPr>
          <w:lang w:val="fr-CA"/>
        </w:rPr>
      </w:pPr>
      <w:r w:rsidRPr="00441760">
        <w:rPr>
          <w:lang w:val="fr-CA"/>
        </w:rPr>
        <w:t>Les barres allongées à sommet plat doivent avoir une hauteur entre 4</w:t>
      </w:r>
      <w:r w:rsidR="003B2C52">
        <w:rPr>
          <w:lang w:val="fr-CA"/>
        </w:rPr>
        <w:t> </w:t>
      </w:r>
      <w:r w:rsidRPr="00441760">
        <w:rPr>
          <w:lang w:val="fr-CA"/>
        </w:rPr>
        <w:t>mm et 5</w:t>
      </w:r>
      <w:r w:rsidR="003B2C52">
        <w:rPr>
          <w:lang w:val="fr-CA"/>
        </w:rPr>
        <w:t> </w:t>
      </w:r>
      <w:proofErr w:type="spellStart"/>
      <w:r w:rsidRPr="00441760">
        <w:rPr>
          <w:lang w:val="fr-CA"/>
        </w:rPr>
        <w:t>mm.</w:t>
      </w:r>
      <w:proofErr w:type="spellEnd"/>
    </w:p>
    <w:p w14:paraId="0875356E" w14:textId="31EF2A2C" w:rsidR="009134F9" w:rsidRPr="00441760" w:rsidRDefault="00604197" w:rsidP="009134F9">
      <w:pPr>
        <w:rPr>
          <w:lang w:val="fr-CA"/>
        </w:rPr>
      </w:pPr>
      <w:r>
        <w:rPr>
          <w:rStyle w:val="EmphasisUseSparingly"/>
          <w:lang w:val="fr-CA"/>
        </w:rPr>
        <w:t>Remarque</w:t>
      </w:r>
      <w:r w:rsidR="009134F9" w:rsidRPr="00441760">
        <w:rPr>
          <w:rStyle w:val="EmphasisUseSparingly"/>
          <w:lang w:val="fr-CA"/>
        </w:rPr>
        <w:t xml:space="preserve"> 1</w:t>
      </w:r>
      <w:r w:rsidR="001C5600">
        <w:rPr>
          <w:rStyle w:val="EmphasisUseSparingly"/>
          <w:lang w:val="fr-CA"/>
        </w:rPr>
        <w:t> </w:t>
      </w:r>
      <w:r w:rsidR="009134F9" w:rsidRPr="00441760">
        <w:rPr>
          <w:lang w:val="fr-CA"/>
        </w:rPr>
        <w:t>: Dans les environnements intérieurs avec des surfaces très lisses, une hauteur d</w:t>
      </w:r>
      <w:r w:rsidR="002D71BC">
        <w:rPr>
          <w:lang w:val="fr-CA"/>
        </w:rPr>
        <w:t>’</w:t>
      </w:r>
      <w:r w:rsidR="009134F9" w:rsidRPr="00441760">
        <w:rPr>
          <w:lang w:val="fr-CA"/>
        </w:rPr>
        <w:t>au moins 4</w:t>
      </w:r>
      <w:r w:rsidR="003B2C52">
        <w:rPr>
          <w:lang w:val="fr-CA"/>
        </w:rPr>
        <w:t> </w:t>
      </w:r>
      <w:r w:rsidR="009134F9" w:rsidRPr="00441760">
        <w:rPr>
          <w:lang w:val="fr-CA"/>
        </w:rPr>
        <w:t>mm est recommandée.</w:t>
      </w:r>
    </w:p>
    <w:p w14:paraId="138F7E87" w14:textId="394EAA49" w:rsidR="009134F9" w:rsidRPr="00441760" w:rsidRDefault="00ED183B" w:rsidP="009134F9">
      <w:pPr>
        <w:rPr>
          <w:lang w:val="fr-CA"/>
        </w:rPr>
      </w:pPr>
      <w:r>
        <w:rPr>
          <w:rStyle w:val="EmphasisUseSparingly"/>
          <w:lang w:val="fr-CA"/>
        </w:rPr>
        <w:t>Remarque</w:t>
      </w:r>
      <w:r w:rsidR="009134F9" w:rsidRPr="00441760">
        <w:rPr>
          <w:rStyle w:val="EmphasisUseSparingly"/>
          <w:lang w:val="fr-CA"/>
        </w:rPr>
        <w:t xml:space="preserve"> 2</w:t>
      </w:r>
      <w:r w:rsidR="001C5600">
        <w:rPr>
          <w:rStyle w:val="EmphasisUseSparingly"/>
          <w:lang w:val="fr-CA"/>
        </w:rPr>
        <w:t> </w:t>
      </w:r>
      <w:r w:rsidR="009134F9" w:rsidRPr="00441760">
        <w:rPr>
          <w:lang w:val="fr-CA"/>
        </w:rPr>
        <w:t>: Les barres allongées à sommet plat sont plus facilement détectables lorsqu</w:t>
      </w:r>
      <w:r w:rsidR="002D71BC">
        <w:rPr>
          <w:lang w:val="fr-CA"/>
        </w:rPr>
        <w:t>’</w:t>
      </w:r>
      <w:r w:rsidR="009134F9" w:rsidRPr="00441760">
        <w:rPr>
          <w:lang w:val="fr-CA"/>
        </w:rPr>
        <w:t>elles sont placées à côté de surfaces extrêmement lisses, comme le plastique, le métal ou le caoutchouc, comparativement à des matériaux plus rugueux comme le béton texturé ou les pavés manufacturés.</w:t>
      </w:r>
    </w:p>
    <w:p w14:paraId="3F3F1523" w14:textId="485FB53E" w:rsidR="00884713" w:rsidRDefault="00E05342" w:rsidP="009134F9">
      <w:pPr>
        <w:rPr>
          <w:lang w:val="fr-CA"/>
        </w:rPr>
      </w:pPr>
      <w:r>
        <w:rPr>
          <w:rStyle w:val="EmphasisUseSparingly"/>
          <w:lang w:val="fr-CA"/>
        </w:rPr>
        <w:t>Remarque</w:t>
      </w:r>
      <w:r w:rsidR="009134F9" w:rsidRPr="00441760">
        <w:rPr>
          <w:rStyle w:val="EmphasisUseSparingly"/>
          <w:lang w:val="fr-CA"/>
        </w:rPr>
        <w:t xml:space="preserve"> 3</w:t>
      </w:r>
      <w:r w:rsidR="001C5600">
        <w:rPr>
          <w:rStyle w:val="EmphasisUseSparingly"/>
          <w:lang w:val="fr-CA"/>
        </w:rPr>
        <w:t> </w:t>
      </w:r>
      <w:r w:rsidR="009134F9" w:rsidRPr="00441760">
        <w:rPr>
          <w:lang w:val="fr-CA"/>
        </w:rPr>
        <w:t>: Une hauteur excessive au-delà du niveau requis pour une détectabilité efficace peut augmenter le risque de trébucher.</w:t>
      </w:r>
    </w:p>
    <w:p w14:paraId="65D8C739" w14:textId="0553E40B" w:rsidR="009134F9" w:rsidRPr="00441760" w:rsidRDefault="00884713" w:rsidP="00884713">
      <w:pPr>
        <w:keepLines w:val="0"/>
        <w:spacing w:before="0" w:beforeAutospacing="0" w:line="259" w:lineRule="auto"/>
        <w:rPr>
          <w:lang w:val="fr-CA"/>
        </w:rPr>
      </w:pPr>
      <w:r>
        <w:rPr>
          <w:lang w:val="fr-CA"/>
        </w:rPr>
        <w:br w:type="page"/>
      </w:r>
    </w:p>
    <w:p w14:paraId="1E8EED4E" w14:textId="54225A7F" w:rsidR="009134F9" w:rsidRDefault="00B166F0" w:rsidP="00B166F0">
      <w:pPr>
        <w:pStyle w:val="Heading5"/>
      </w:pPr>
      <w:bookmarkStart w:id="602" w:name="_Longueur_des_barres"/>
      <w:bookmarkEnd w:id="602"/>
      <w:r>
        <w:lastRenderedPageBreak/>
        <w:t>Longueur des barres</w:t>
      </w:r>
    </w:p>
    <w:p w14:paraId="2E0C747A" w14:textId="46032F30" w:rsidR="00B166F0" w:rsidRPr="0097310A" w:rsidRDefault="00B166F0" w:rsidP="00B166F0">
      <w:pPr>
        <w:rPr>
          <w:lang w:val="fr-CA"/>
        </w:rPr>
      </w:pPr>
      <w:r w:rsidRPr="0097310A">
        <w:rPr>
          <w:lang w:val="fr-CA"/>
        </w:rPr>
        <w:t>Les barres allongées à sommet plat doivent</w:t>
      </w:r>
      <w:r w:rsidR="001C5600">
        <w:rPr>
          <w:lang w:val="fr-CA"/>
        </w:rPr>
        <w:t> </w:t>
      </w:r>
      <w:r w:rsidRPr="0097310A">
        <w:rPr>
          <w:lang w:val="fr-CA"/>
        </w:rPr>
        <w:t>:</w:t>
      </w:r>
    </w:p>
    <w:p w14:paraId="2EDD2917" w14:textId="67322BD4" w:rsidR="00B166F0" w:rsidRPr="0097310A" w:rsidRDefault="00F6316A" w:rsidP="003F66F0">
      <w:pPr>
        <w:pStyle w:val="ListRef"/>
        <w:numPr>
          <w:ilvl w:val="0"/>
          <w:numId w:val="38"/>
        </w:numPr>
        <w:rPr>
          <w:lang w:val="fr-CA"/>
        </w:rPr>
      </w:pPr>
      <w:proofErr w:type="gramStart"/>
      <w:r>
        <w:rPr>
          <w:lang w:val="fr-CA"/>
        </w:rPr>
        <w:t>avoir</w:t>
      </w:r>
      <w:proofErr w:type="gramEnd"/>
      <w:r w:rsidR="00B166F0" w:rsidRPr="0097310A">
        <w:rPr>
          <w:lang w:val="fr-CA"/>
        </w:rPr>
        <w:t xml:space="preserve"> une longueur supérieure de plus de 270</w:t>
      </w:r>
      <w:r w:rsidR="003B2C52">
        <w:rPr>
          <w:lang w:val="fr-CA"/>
        </w:rPr>
        <w:t> </w:t>
      </w:r>
      <w:r w:rsidR="00B166F0" w:rsidRPr="0097310A">
        <w:rPr>
          <w:lang w:val="fr-CA"/>
        </w:rPr>
        <w:t>mm</w:t>
      </w:r>
      <w:r w:rsidR="00397986">
        <w:rPr>
          <w:lang w:val="fr-CA"/>
        </w:rPr>
        <w:t xml:space="preserve"> avec </w:t>
      </w:r>
      <w:r w:rsidR="00B166F0" w:rsidRPr="0097310A">
        <w:rPr>
          <w:lang w:val="fr-CA"/>
        </w:rPr>
        <w:t>la longueur inférieure s</w:t>
      </w:r>
      <w:r w:rsidR="002D71BC">
        <w:rPr>
          <w:lang w:val="fr-CA"/>
        </w:rPr>
        <w:t>’</w:t>
      </w:r>
      <w:r w:rsidR="00B166F0" w:rsidRPr="0097310A">
        <w:rPr>
          <w:lang w:val="fr-CA"/>
        </w:rPr>
        <w:t xml:space="preserve">étendant de </w:t>
      </w:r>
      <w:r w:rsidR="00CA266F">
        <w:rPr>
          <w:lang w:val="fr-CA"/>
        </w:rPr>
        <w:t>9</w:t>
      </w:r>
      <w:r w:rsidR="003B2C52">
        <w:rPr>
          <w:lang w:val="fr-CA"/>
        </w:rPr>
        <w:t> </w:t>
      </w:r>
      <w:r w:rsidR="00B166F0" w:rsidRPr="0097310A">
        <w:rPr>
          <w:lang w:val="fr-CA"/>
        </w:rPr>
        <w:t>mm</w:t>
      </w:r>
      <w:r w:rsidR="00CA266F">
        <w:rPr>
          <w:lang w:val="fr-CA"/>
        </w:rPr>
        <w:t xml:space="preserve"> à</w:t>
      </w:r>
      <w:r w:rsidR="00B166F0" w:rsidRPr="0097310A">
        <w:rPr>
          <w:lang w:val="fr-CA"/>
        </w:rPr>
        <w:t xml:space="preserve"> 1</w:t>
      </w:r>
      <w:r w:rsidR="00CA266F">
        <w:rPr>
          <w:lang w:val="fr-CA"/>
        </w:rPr>
        <w:t>1</w:t>
      </w:r>
      <w:r w:rsidR="003B2C52">
        <w:rPr>
          <w:lang w:val="fr-CA"/>
        </w:rPr>
        <w:t> </w:t>
      </w:r>
      <w:r w:rsidR="00B166F0" w:rsidRPr="0097310A">
        <w:rPr>
          <w:lang w:val="fr-CA"/>
        </w:rPr>
        <w:t>mm supplémentaires au-delà du haut; et</w:t>
      </w:r>
    </w:p>
    <w:p w14:paraId="757E16BE" w14:textId="5E9B19F7" w:rsidR="00B166F0" w:rsidRPr="0097310A" w:rsidRDefault="00397986" w:rsidP="003F66F0">
      <w:pPr>
        <w:pStyle w:val="ListRef"/>
        <w:numPr>
          <w:ilvl w:val="0"/>
          <w:numId w:val="38"/>
        </w:numPr>
        <w:rPr>
          <w:lang w:val="fr-CA"/>
        </w:rPr>
      </w:pPr>
      <w:proofErr w:type="gramStart"/>
      <w:r>
        <w:rPr>
          <w:lang w:val="fr-CA"/>
        </w:rPr>
        <w:t>avoir</w:t>
      </w:r>
      <w:proofErr w:type="gramEnd"/>
      <w:r w:rsidR="00B166F0" w:rsidRPr="0097310A">
        <w:rPr>
          <w:lang w:val="fr-CA"/>
        </w:rPr>
        <w:t xml:space="preserve"> un </w:t>
      </w:r>
      <w:r>
        <w:rPr>
          <w:lang w:val="fr-CA"/>
        </w:rPr>
        <w:t>écart</w:t>
      </w:r>
      <w:r w:rsidR="00B166F0" w:rsidRPr="0097310A">
        <w:rPr>
          <w:lang w:val="fr-CA"/>
        </w:rPr>
        <w:t xml:space="preserve"> de drainage entre 10</w:t>
      </w:r>
      <w:r w:rsidR="003B2C52">
        <w:rPr>
          <w:lang w:val="fr-CA"/>
        </w:rPr>
        <w:t> </w:t>
      </w:r>
      <w:r w:rsidR="00B166F0" w:rsidRPr="0097310A">
        <w:rPr>
          <w:lang w:val="fr-CA"/>
        </w:rPr>
        <w:t>mm et 30</w:t>
      </w:r>
      <w:r w:rsidR="003B2C52">
        <w:rPr>
          <w:lang w:val="fr-CA"/>
        </w:rPr>
        <w:t> </w:t>
      </w:r>
      <w:r w:rsidR="00B166F0" w:rsidRPr="0097310A">
        <w:rPr>
          <w:lang w:val="fr-CA"/>
        </w:rPr>
        <w:t>mm pour permettre un bon écoulement de l</w:t>
      </w:r>
      <w:r w:rsidR="002D71BC">
        <w:rPr>
          <w:lang w:val="fr-CA"/>
        </w:rPr>
        <w:t>’</w:t>
      </w:r>
      <w:r w:rsidR="00B166F0" w:rsidRPr="0097310A">
        <w:rPr>
          <w:lang w:val="fr-CA"/>
        </w:rPr>
        <w:t>eau s</w:t>
      </w:r>
      <w:r w:rsidR="002D71BC">
        <w:rPr>
          <w:lang w:val="fr-CA"/>
        </w:rPr>
        <w:t>’</w:t>
      </w:r>
      <w:r w:rsidR="00B166F0" w:rsidRPr="0097310A">
        <w:rPr>
          <w:lang w:val="fr-CA"/>
        </w:rPr>
        <w:t>il y a un risque d</w:t>
      </w:r>
      <w:r w:rsidR="002D71BC">
        <w:rPr>
          <w:lang w:val="fr-CA"/>
        </w:rPr>
        <w:t>’</w:t>
      </w:r>
      <w:r w:rsidR="00B166F0" w:rsidRPr="0097310A">
        <w:rPr>
          <w:lang w:val="fr-CA"/>
        </w:rPr>
        <w:t>accumulation d</w:t>
      </w:r>
      <w:r w:rsidR="002D71BC">
        <w:rPr>
          <w:lang w:val="fr-CA"/>
        </w:rPr>
        <w:t>’</w:t>
      </w:r>
      <w:r w:rsidR="00B166F0" w:rsidRPr="0097310A">
        <w:rPr>
          <w:lang w:val="fr-CA"/>
        </w:rPr>
        <w:t>eau entre les deux.</w:t>
      </w:r>
    </w:p>
    <w:p w14:paraId="46AB208C" w14:textId="21B86A55" w:rsidR="00B166F0" w:rsidRDefault="00121029" w:rsidP="00D95DF4">
      <w:pPr>
        <w:pStyle w:val="Heading5"/>
      </w:pPr>
      <w:bookmarkStart w:id="603" w:name="_Largeur_de_la"/>
      <w:bookmarkEnd w:id="603"/>
      <w:proofErr w:type="spellStart"/>
      <w:r>
        <w:t>Largeur</w:t>
      </w:r>
      <w:proofErr w:type="spellEnd"/>
      <w:r>
        <w:t xml:space="preserve"> de la barre</w:t>
      </w:r>
    </w:p>
    <w:p w14:paraId="224E1F3F" w14:textId="6C27FA55" w:rsidR="00121029" w:rsidRPr="0097310A" w:rsidRDefault="00121029" w:rsidP="00121029">
      <w:pPr>
        <w:pStyle w:val="ListRef"/>
        <w:rPr>
          <w:lang w:val="fr-CA"/>
        </w:rPr>
      </w:pPr>
      <w:r w:rsidRPr="0097310A">
        <w:rPr>
          <w:lang w:val="fr-CA"/>
        </w:rPr>
        <w:t>Les barres allongées à sommet plat doivent</w:t>
      </w:r>
      <w:r w:rsidR="001C5600">
        <w:rPr>
          <w:lang w:val="fr-CA"/>
        </w:rPr>
        <w:t> </w:t>
      </w:r>
      <w:r w:rsidRPr="0097310A">
        <w:rPr>
          <w:lang w:val="fr-CA"/>
        </w:rPr>
        <w:t>:</w:t>
      </w:r>
    </w:p>
    <w:p w14:paraId="34EFF33C" w14:textId="269E898F" w:rsidR="003B0A93" w:rsidRDefault="00DE7978" w:rsidP="003F66F0">
      <w:pPr>
        <w:pStyle w:val="ListRef"/>
        <w:numPr>
          <w:ilvl w:val="1"/>
          <w:numId w:val="77"/>
        </w:numPr>
        <w:rPr>
          <w:lang w:val="fr-CA"/>
        </w:rPr>
      </w:pPr>
      <w:proofErr w:type="gramStart"/>
      <w:r>
        <w:rPr>
          <w:lang w:val="fr-CA"/>
        </w:rPr>
        <w:t>avoir</w:t>
      </w:r>
      <w:proofErr w:type="gramEnd"/>
      <w:r>
        <w:rPr>
          <w:lang w:val="fr-CA"/>
        </w:rPr>
        <w:t xml:space="preserve"> une</w:t>
      </w:r>
      <w:r w:rsidR="00121029" w:rsidRPr="0097310A">
        <w:rPr>
          <w:lang w:val="fr-CA"/>
        </w:rPr>
        <w:t xml:space="preserve"> largeur supérieure entre 17</w:t>
      </w:r>
      <w:r w:rsidR="003B2C52">
        <w:rPr>
          <w:lang w:val="fr-CA"/>
        </w:rPr>
        <w:t> </w:t>
      </w:r>
      <w:r w:rsidR="00121029" w:rsidRPr="0097310A">
        <w:rPr>
          <w:lang w:val="fr-CA"/>
        </w:rPr>
        <w:t>mm et 30</w:t>
      </w:r>
      <w:r w:rsidR="003B2C52">
        <w:rPr>
          <w:lang w:val="fr-CA"/>
        </w:rPr>
        <w:t> </w:t>
      </w:r>
      <w:r w:rsidR="00121029" w:rsidRPr="0097310A">
        <w:rPr>
          <w:lang w:val="fr-CA"/>
        </w:rPr>
        <w:t>mm comme détaillé</w:t>
      </w:r>
      <w:r w:rsidR="004F5095">
        <w:rPr>
          <w:lang w:val="fr-CA"/>
        </w:rPr>
        <w:t>e</w:t>
      </w:r>
      <w:r w:rsidR="00121029" w:rsidRPr="0097310A">
        <w:rPr>
          <w:lang w:val="fr-CA"/>
        </w:rPr>
        <w:t xml:space="preserve"> dans le tableau </w:t>
      </w:r>
      <w:r w:rsidR="00121029">
        <w:fldChar w:fldCharType="begin"/>
      </w:r>
      <w:r w:rsidR="00121029" w:rsidRPr="007C0FBA">
        <w:rPr>
          <w:lang w:val="fr-CA"/>
        </w:rPr>
        <w:instrText>HYPERLINK \l "Tableau4"</w:instrText>
      </w:r>
      <w:r w:rsidR="00121029">
        <w:fldChar w:fldCharType="separate"/>
      </w:r>
      <w:r w:rsidR="00121029" w:rsidRPr="0097310A">
        <w:rPr>
          <w:rStyle w:val="Hyperlink"/>
          <w:lang w:val="fr-CA"/>
        </w:rPr>
        <w:t>4</w:t>
      </w:r>
      <w:r w:rsidR="00121029">
        <w:fldChar w:fldCharType="end"/>
      </w:r>
      <w:r w:rsidR="00121029" w:rsidRPr="0097310A">
        <w:rPr>
          <w:lang w:val="fr-CA"/>
        </w:rPr>
        <w:t>; et</w:t>
      </w:r>
    </w:p>
    <w:p w14:paraId="7DF2B030" w14:textId="65A4CEC0" w:rsidR="00121029" w:rsidRPr="0097310A" w:rsidRDefault="00121029" w:rsidP="003F66F0">
      <w:pPr>
        <w:pStyle w:val="ListRef"/>
        <w:numPr>
          <w:ilvl w:val="1"/>
          <w:numId w:val="77"/>
        </w:numPr>
        <w:rPr>
          <w:lang w:val="fr-CA"/>
        </w:rPr>
      </w:pPr>
      <w:proofErr w:type="gramStart"/>
      <w:r w:rsidRPr="0097310A">
        <w:rPr>
          <w:lang w:val="fr-CA"/>
        </w:rPr>
        <w:t>avoir</w:t>
      </w:r>
      <w:proofErr w:type="gramEnd"/>
      <w:r w:rsidRPr="0097310A">
        <w:rPr>
          <w:lang w:val="fr-CA"/>
        </w:rPr>
        <w:t xml:space="preserve"> la largeur inférieure </w:t>
      </w:r>
      <w:r w:rsidR="00E82350">
        <w:rPr>
          <w:lang w:val="fr-CA"/>
        </w:rPr>
        <w:t>9</w:t>
      </w:r>
      <w:r w:rsidR="003B2C52">
        <w:rPr>
          <w:lang w:val="fr-CA"/>
        </w:rPr>
        <w:t> </w:t>
      </w:r>
      <w:r w:rsidRPr="0097310A">
        <w:rPr>
          <w:lang w:val="fr-CA"/>
        </w:rPr>
        <w:t xml:space="preserve">mm </w:t>
      </w:r>
      <w:r w:rsidR="00E82350">
        <w:rPr>
          <w:lang w:val="fr-CA"/>
        </w:rPr>
        <w:t xml:space="preserve">à </w:t>
      </w:r>
      <w:r w:rsidRPr="0097310A">
        <w:rPr>
          <w:lang w:val="fr-CA"/>
        </w:rPr>
        <w:t>1</w:t>
      </w:r>
      <w:r w:rsidR="00E82350">
        <w:rPr>
          <w:lang w:val="fr-CA"/>
        </w:rPr>
        <w:t>1</w:t>
      </w:r>
      <w:r w:rsidR="003B2C52">
        <w:rPr>
          <w:lang w:val="fr-CA"/>
        </w:rPr>
        <w:t> </w:t>
      </w:r>
      <w:r w:rsidRPr="0097310A">
        <w:rPr>
          <w:lang w:val="fr-CA"/>
        </w:rPr>
        <w:t>mm plus grand</w:t>
      </w:r>
      <w:r w:rsidR="004F5095">
        <w:rPr>
          <w:lang w:val="fr-CA"/>
        </w:rPr>
        <w:t>s</w:t>
      </w:r>
      <w:r w:rsidRPr="0097310A">
        <w:rPr>
          <w:lang w:val="fr-CA"/>
        </w:rPr>
        <w:t xml:space="preserve"> que la largeur supérieure.</w:t>
      </w:r>
    </w:p>
    <w:p w14:paraId="27ACD9F7" w14:textId="572F074C" w:rsidR="00121029" w:rsidRPr="0097310A" w:rsidRDefault="00E2204A" w:rsidP="00121029">
      <w:pPr>
        <w:rPr>
          <w:lang w:val="fr-CA"/>
        </w:rPr>
      </w:pPr>
      <w:r>
        <w:rPr>
          <w:rStyle w:val="EmphasisUseSparingly"/>
          <w:lang w:val="fr-CA"/>
        </w:rPr>
        <w:t>Remarque</w:t>
      </w:r>
      <w:r w:rsidR="001C5600">
        <w:rPr>
          <w:rStyle w:val="EmphasisUseSparingly"/>
          <w:lang w:val="fr-CA"/>
        </w:rPr>
        <w:t> </w:t>
      </w:r>
      <w:r w:rsidR="00121029" w:rsidRPr="0097310A">
        <w:rPr>
          <w:rStyle w:val="EmphasisUseSparingly"/>
          <w:lang w:val="fr-CA"/>
        </w:rPr>
        <w:t xml:space="preserve">: </w:t>
      </w:r>
      <w:r w:rsidR="00A6280E" w:rsidRPr="0097310A">
        <w:rPr>
          <w:lang w:val="fr-CA"/>
        </w:rPr>
        <w:t>Une largeur supérieure de 17</w:t>
      </w:r>
      <w:r w:rsidR="003B2C52">
        <w:rPr>
          <w:lang w:val="fr-CA"/>
        </w:rPr>
        <w:t> </w:t>
      </w:r>
      <w:r w:rsidR="00A6280E" w:rsidRPr="0097310A">
        <w:rPr>
          <w:lang w:val="fr-CA"/>
        </w:rPr>
        <w:t>mm est considérée comme la dimension la plus efficace pour détecter et différencier à l</w:t>
      </w:r>
      <w:r w:rsidR="002D71BC">
        <w:rPr>
          <w:lang w:val="fr-CA"/>
        </w:rPr>
        <w:t>’</w:t>
      </w:r>
      <w:r w:rsidR="00A6280E" w:rsidRPr="0097310A">
        <w:rPr>
          <w:lang w:val="fr-CA"/>
        </w:rPr>
        <w:t>aide des semelles de leurs chaussures.</w:t>
      </w:r>
    </w:p>
    <w:p w14:paraId="1436C85C" w14:textId="77777777" w:rsidR="0097310A" w:rsidRDefault="0097310A">
      <w:pPr>
        <w:keepLines w:val="0"/>
        <w:spacing w:before="0" w:beforeAutospacing="0" w:line="259" w:lineRule="auto"/>
        <w:rPr>
          <w:lang w:val="fr-CA"/>
        </w:rPr>
      </w:pPr>
      <w:r>
        <w:rPr>
          <w:lang w:val="fr-CA"/>
        </w:rPr>
        <w:br w:type="page"/>
      </w:r>
    </w:p>
    <w:p w14:paraId="195D4F7E" w14:textId="57234F24" w:rsidR="00D12C4F" w:rsidRDefault="0049410A" w:rsidP="0049410A">
      <w:pPr>
        <w:rPr>
          <w:b/>
          <w:bCs/>
          <w:lang w:val="fr-CA"/>
        </w:rPr>
      </w:pPr>
      <w:bookmarkStart w:id="604" w:name="Tableau4"/>
      <w:r w:rsidRPr="006D4409">
        <w:rPr>
          <w:b/>
          <w:bCs/>
          <w:lang w:val="fr-CA"/>
        </w:rPr>
        <w:lastRenderedPageBreak/>
        <w:t xml:space="preserve">Tableau 4 </w:t>
      </w:r>
      <w:bookmarkEnd w:id="604"/>
      <w:r w:rsidRPr="006D4409">
        <w:rPr>
          <w:b/>
          <w:bCs/>
          <w:lang w:val="fr-CA"/>
        </w:rPr>
        <w:t xml:space="preserve">– </w:t>
      </w:r>
      <w:r w:rsidR="00D12C4F" w:rsidRPr="00D12C4F">
        <w:rPr>
          <w:b/>
          <w:bCs/>
          <w:lang w:val="fr-CA"/>
        </w:rPr>
        <w:t>Combinaisons de largeurs et d</w:t>
      </w:r>
      <w:r w:rsidR="002D71BC">
        <w:rPr>
          <w:b/>
          <w:bCs/>
          <w:lang w:val="fr-CA"/>
        </w:rPr>
        <w:t>’</w:t>
      </w:r>
      <w:r w:rsidR="00D12C4F" w:rsidRPr="00D12C4F">
        <w:rPr>
          <w:b/>
          <w:bCs/>
          <w:lang w:val="fr-CA"/>
        </w:rPr>
        <w:t>espacements de barres allongées à sommet plat</w:t>
      </w:r>
    </w:p>
    <w:p w14:paraId="66C49415" w14:textId="7CA7419C" w:rsidR="00D12C4F" w:rsidRDefault="00FD63E9" w:rsidP="0049410A">
      <w:pPr>
        <w:rPr>
          <w:lang w:val="fr-CA"/>
        </w:rPr>
      </w:pPr>
      <w:r w:rsidRPr="00FD63E9">
        <w:rPr>
          <w:lang w:val="fr-CA"/>
        </w:rPr>
        <w:t xml:space="preserve">(Voir les articles </w:t>
      </w:r>
      <w:r>
        <w:fldChar w:fldCharType="begin"/>
      </w:r>
      <w:r w:rsidRPr="007C0FBA">
        <w:rPr>
          <w:lang w:val="fr-CA"/>
        </w:rPr>
        <w:instrText>HYPERLINK \l "_Largeur_de_la"</w:instrText>
      </w:r>
      <w:r>
        <w:fldChar w:fldCharType="separate"/>
      </w:r>
      <w:r w:rsidRPr="00FD63E9">
        <w:rPr>
          <w:rStyle w:val="Hyperlink"/>
          <w:lang w:val="fr-CA"/>
        </w:rPr>
        <w:t>11.4.3.3.4</w:t>
      </w:r>
      <w:r>
        <w:fldChar w:fldCharType="end"/>
      </w:r>
      <w:r w:rsidRPr="00FD63E9">
        <w:rPr>
          <w:lang w:val="fr-CA"/>
        </w:rPr>
        <w:t xml:space="preserve"> et </w:t>
      </w:r>
      <w:r>
        <w:fldChar w:fldCharType="begin"/>
      </w:r>
      <w:r w:rsidRPr="007C0FBA">
        <w:rPr>
          <w:lang w:val="fr-CA"/>
        </w:rPr>
        <w:instrText>HYPERLINK \l "_Espacement_des_barres"</w:instrText>
      </w:r>
      <w:r>
        <w:fldChar w:fldCharType="separate"/>
      </w:r>
      <w:r w:rsidRPr="00C55086">
        <w:rPr>
          <w:rStyle w:val="Hyperlink"/>
          <w:lang w:val="fr-CA"/>
        </w:rPr>
        <w:t>11.4.3.3.5</w:t>
      </w:r>
      <w:r>
        <w:fldChar w:fldCharType="end"/>
      </w:r>
      <w:r w:rsidRPr="00FD63E9">
        <w:rPr>
          <w:lang w:val="fr-CA"/>
        </w:rPr>
        <w:t>)</w:t>
      </w:r>
    </w:p>
    <w:p w14:paraId="199CEC3D" w14:textId="7C5B79F0" w:rsidR="00320A2D" w:rsidRPr="00FD63E9" w:rsidRDefault="00320A2D" w:rsidP="0049410A">
      <w:pPr>
        <w:rPr>
          <w:lang w:val="fr-CA"/>
        </w:rPr>
      </w:pPr>
      <w:r w:rsidRPr="00320A2D">
        <w:rPr>
          <w:lang w:val="fr-CA"/>
        </w:rPr>
        <w:t>Ce tableau indique les exigences en matière de largeur supérieure, de largeur de base et d</w:t>
      </w:r>
      <w:r w:rsidR="002D71BC">
        <w:rPr>
          <w:lang w:val="fr-CA"/>
        </w:rPr>
        <w:t>’</w:t>
      </w:r>
      <w:r w:rsidRPr="00320A2D">
        <w:rPr>
          <w:lang w:val="fr-CA"/>
        </w:rPr>
        <w:t>espacement pour les barres allongées à sommet plat.</w:t>
      </w:r>
    </w:p>
    <w:tbl>
      <w:tblPr>
        <w:tblStyle w:val="TableGrid"/>
        <w:tblW w:w="9360" w:type="dxa"/>
        <w:tblLayout w:type="fixed"/>
        <w:tblLook w:val="06A0" w:firstRow="1" w:lastRow="0" w:firstColumn="1" w:lastColumn="0" w:noHBand="1" w:noVBand="1"/>
      </w:tblPr>
      <w:tblGrid>
        <w:gridCol w:w="3120"/>
        <w:gridCol w:w="3120"/>
        <w:gridCol w:w="3120"/>
      </w:tblGrid>
      <w:tr w:rsidR="00B15BE1" w:rsidRPr="007C0FBA" w14:paraId="6BC82431" w14:textId="77777777" w:rsidTr="00B25336">
        <w:trPr>
          <w:cnfStyle w:val="100000000000" w:firstRow="1" w:lastRow="0" w:firstColumn="0" w:lastColumn="0" w:oddVBand="0" w:evenVBand="0" w:oddHBand="0" w:evenHBand="0" w:firstRowFirstColumn="0" w:firstRowLastColumn="0" w:lastRowFirstColumn="0" w:lastRowLastColumn="0"/>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C16C0" w14:textId="68DFA523" w:rsidR="00B15BE1" w:rsidRPr="00B15BE1" w:rsidRDefault="00B15BE1" w:rsidP="00B25336">
            <w:pPr>
              <w:rPr>
                <w:lang w:val="fr-CA"/>
              </w:rPr>
            </w:pPr>
            <w:r w:rsidRPr="003B5447">
              <w:rPr>
                <w:lang w:val="fr-CA"/>
              </w:rPr>
              <w:t>Largeur supérieure des barres allongées à sommet plat (mm)</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17D97" w14:textId="3591DD23" w:rsidR="00B15BE1" w:rsidRPr="00451D77" w:rsidRDefault="00451D77" w:rsidP="00B25336">
            <w:pPr>
              <w:rPr>
                <w:lang w:val="fr-CA"/>
              </w:rPr>
            </w:pPr>
            <w:r w:rsidRPr="00451D77">
              <w:rPr>
                <w:lang w:val="fr-CA"/>
              </w:rPr>
              <w:t>Largeur de b</w:t>
            </w:r>
            <w:r w:rsidR="00B15BE1" w:rsidRPr="00451D77">
              <w:rPr>
                <w:lang w:val="fr-CA"/>
              </w:rPr>
              <w:t xml:space="preserve">ase </w:t>
            </w:r>
            <w:r w:rsidRPr="003B5447">
              <w:rPr>
                <w:lang w:val="fr-CA"/>
              </w:rPr>
              <w:t>des barres allongées à sommet plat (mm)</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C12C0" w14:textId="1F01108A" w:rsidR="00B15BE1" w:rsidRPr="00E1177C" w:rsidRDefault="00BB791C" w:rsidP="00B25336">
            <w:pPr>
              <w:rPr>
                <w:lang w:val="fr-CA"/>
              </w:rPr>
            </w:pPr>
            <w:r w:rsidRPr="00E1177C">
              <w:rPr>
                <w:lang w:val="fr-CA"/>
              </w:rPr>
              <w:t xml:space="preserve">L’espacement entre </w:t>
            </w:r>
            <w:r w:rsidR="00D365D6" w:rsidRPr="00E1177C">
              <w:rPr>
                <w:lang w:val="fr-CA"/>
              </w:rPr>
              <w:t>les axes de barres</w:t>
            </w:r>
            <w:r w:rsidR="00E1177C" w:rsidRPr="00E1177C">
              <w:rPr>
                <w:lang w:val="fr-CA"/>
              </w:rPr>
              <w:t xml:space="preserve"> </w:t>
            </w:r>
            <w:r w:rsidR="00E1177C" w:rsidRPr="003B5447">
              <w:rPr>
                <w:lang w:val="fr-CA"/>
              </w:rPr>
              <w:t xml:space="preserve">allongées à sommet plat </w:t>
            </w:r>
            <w:r w:rsidR="00E1177C">
              <w:rPr>
                <w:lang w:val="fr-CA"/>
              </w:rPr>
              <w:t xml:space="preserve">adjacentes </w:t>
            </w:r>
            <w:r w:rsidR="00E1177C" w:rsidRPr="003B5447">
              <w:rPr>
                <w:lang w:val="fr-CA"/>
              </w:rPr>
              <w:t>(mm)</w:t>
            </w:r>
            <w:r w:rsidR="00B15BE1" w:rsidRPr="00E1177C">
              <w:rPr>
                <w:lang w:val="fr-CA"/>
              </w:rPr>
              <w:t xml:space="preserve"> </w:t>
            </w:r>
          </w:p>
        </w:tc>
      </w:tr>
      <w:tr w:rsidR="00B15BE1" w14:paraId="4D2D250F" w14:textId="77777777" w:rsidTr="00B25336">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160D6" w14:textId="77777777" w:rsidR="00B15BE1" w:rsidRPr="00653DA5" w:rsidRDefault="00B15BE1" w:rsidP="00B25336">
            <w:r w:rsidRPr="002977F3">
              <w:t>17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CE775" w14:textId="1EFDBD13" w:rsidR="00B15BE1" w:rsidRPr="00653DA5" w:rsidRDefault="00B15BE1" w:rsidP="00B25336">
            <w:r>
              <w:t xml:space="preserve">26 </w:t>
            </w:r>
            <w:r w:rsidR="00882C87">
              <w:rPr>
                <w:rFonts w:cs="Arial"/>
              </w:rPr>
              <w:t>à</w:t>
            </w:r>
            <w:r>
              <w:t xml:space="preserve"> 28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834C4" w14:textId="07C4B4CB" w:rsidR="00B15BE1" w:rsidRPr="00653DA5" w:rsidRDefault="00B15BE1" w:rsidP="00B25336">
            <w:r w:rsidRPr="002977F3">
              <w:t xml:space="preserve">57 </w:t>
            </w:r>
            <w:r w:rsidR="00882C87">
              <w:rPr>
                <w:rFonts w:cs="Arial"/>
              </w:rPr>
              <w:t>à</w:t>
            </w:r>
            <w:r w:rsidRPr="002977F3">
              <w:t xml:space="preserve"> 78</w:t>
            </w:r>
          </w:p>
        </w:tc>
      </w:tr>
      <w:tr w:rsidR="00B15BE1" w14:paraId="3CF27629" w14:textId="77777777" w:rsidTr="00B25336">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392D4" w14:textId="77777777" w:rsidR="00B15BE1" w:rsidRPr="00653DA5" w:rsidRDefault="00B15BE1" w:rsidP="00B25336">
            <w:r w:rsidRPr="002977F3">
              <w:t>20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4BBD0" w14:textId="47FB7DFD" w:rsidR="00B15BE1" w:rsidRPr="00653DA5" w:rsidRDefault="00B15BE1" w:rsidP="00B25336">
            <w:r>
              <w:t xml:space="preserve">29 </w:t>
            </w:r>
            <w:r w:rsidR="00882C87">
              <w:rPr>
                <w:rFonts w:cs="Arial"/>
              </w:rPr>
              <w:t>à</w:t>
            </w:r>
            <w:r>
              <w:t xml:space="preserve"> 31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5EA82" w14:textId="3C2ED5D9" w:rsidR="00B15BE1" w:rsidRPr="00653DA5" w:rsidRDefault="00B15BE1" w:rsidP="00B25336">
            <w:r w:rsidRPr="002977F3">
              <w:t xml:space="preserve">60 </w:t>
            </w:r>
            <w:r w:rsidR="00882C87">
              <w:rPr>
                <w:rFonts w:cs="Arial"/>
              </w:rPr>
              <w:t>à</w:t>
            </w:r>
            <w:r w:rsidRPr="002977F3">
              <w:t xml:space="preserve"> 80</w:t>
            </w:r>
          </w:p>
        </w:tc>
      </w:tr>
      <w:tr w:rsidR="00B15BE1" w14:paraId="2B2AFD1E" w14:textId="77777777" w:rsidTr="00B25336">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BE354" w14:textId="77777777" w:rsidR="00B15BE1" w:rsidRPr="00653DA5" w:rsidRDefault="00B15BE1" w:rsidP="00B25336">
            <w:r w:rsidRPr="002977F3">
              <w:t>25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CDE97" w14:textId="34F7B327" w:rsidR="00B15BE1" w:rsidRPr="00653DA5" w:rsidRDefault="00B15BE1" w:rsidP="00B25336">
            <w:r>
              <w:t xml:space="preserve">34 </w:t>
            </w:r>
            <w:r w:rsidR="00882C87">
              <w:rPr>
                <w:rFonts w:cs="Arial"/>
              </w:rPr>
              <w:t>à</w:t>
            </w:r>
            <w:r>
              <w:t xml:space="preserve"> 36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40EDD" w14:textId="56E33100" w:rsidR="00B15BE1" w:rsidRPr="00653DA5" w:rsidRDefault="00B15BE1" w:rsidP="00B25336">
            <w:r w:rsidRPr="002977F3">
              <w:t xml:space="preserve">65 </w:t>
            </w:r>
            <w:r w:rsidR="00882C87">
              <w:rPr>
                <w:rFonts w:cs="Arial"/>
              </w:rPr>
              <w:t>à</w:t>
            </w:r>
            <w:r w:rsidRPr="002977F3">
              <w:t xml:space="preserve"> 83</w:t>
            </w:r>
          </w:p>
        </w:tc>
      </w:tr>
      <w:tr w:rsidR="00B15BE1" w14:paraId="248ABE10" w14:textId="77777777" w:rsidTr="00B25336">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D30A8" w14:textId="77777777" w:rsidR="00B15BE1" w:rsidRPr="00653DA5" w:rsidRDefault="00B15BE1" w:rsidP="00B25336">
            <w:r w:rsidRPr="002977F3">
              <w:t>30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05ED1" w14:textId="3348AFEF" w:rsidR="00B15BE1" w:rsidRPr="00653DA5" w:rsidRDefault="00B15BE1" w:rsidP="00B25336">
            <w:r>
              <w:t xml:space="preserve">39 </w:t>
            </w:r>
            <w:r w:rsidR="00882C87">
              <w:rPr>
                <w:rFonts w:cs="Arial"/>
              </w:rPr>
              <w:t>à</w:t>
            </w:r>
            <w:r>
              <w:t xml:space="preserve"> 41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26433" w14:textId="06C9E4E2" w:rsidR="00B15BE1" w:rsidRPr="00653DA5" w:rsidRDefault="00B15BE1" w:rsidP="00B25336">
            <w:r w:rsidRPr="002977F3">
              <w:t xml:space="preserve">70 </w:t>
            </w:r>
            <w:r w:rsidR="00882C87">
              <w:rPr>
                <w:rFonts w:cs="Arial"/>
              </w:rPr>
              <w:t>à</w:t>
            </w:r>
            <w:r w:rsidRPr="002977F3">
              <w:t xml:space="preserve"> 85</w:t>
            </w:r>
          </w:p>
        </w:tc>
      </w:tr>
    </w:tbl>
    <w:p w14:paraId="7471EBC6" w14:textId="7A09E40A" w:rsidR="00121029" w:rsidRDefault="000E7280" w:rsidP="000E7280">
      <w:pPr>
        <w:pStyle w:val="Heading5"/>
      </w:pPr>
      <w:proofErr w:type="spellStart"/>
      <w:r>
        <w:t>Espacement</w:t>
      </w:r>
      <w:proofErr w:type="spellEnd"/>
      <w:r>
        <w:t xml:space="preserve"> des barres</w:t>
      </w:r>
    </w:p>
    <w:p w14:paraId="1A60FD8C" w14:textId="56CC052C" w:rsidR="000E7280" w:rsidRPr="00E40B54" w:rsidRDefault="000E7280" w:rsidP="000E7280">
      <w:pPr>
        <w:rPr>
          <w:lang w:val="fr-CA"/>
        </w:rPr>
      </w:pPr>
      <w:r w:rsidRPr="00E40B54">
        <w:rPr>
          <w:lang w:val="fr-CA"/>
        </w:rPr>
        <w:t>L</w:t>
      </w:r>
      <w:r w:rsidR="002D71BC">
        <w:rPr>
          <w:lang w:val="fr-CA"/>
        </w:rPr>
        <w:t>’</w:t>
      </w:r>
      <w:r w:rsidRPr="00E40B54">
        <w:rPr>
          <w:lang w:val="fr-CA"/>
        </w:rPr>
        <w:t xml:space="preserve">espacement des barres est la distance mesurée entre les </w:t>
      </w:r>
      <w:r w:rsidR="00E00143">
        <w:rPr>
          <w:lang w:val="fr-CA"/>
        </w:rPr>
        <w:t>axes</w:t>
      </w:r>
      <w:r w:rsidRPr="00E40B54">
        <w:rPr>
          <w:lang w:val="fr-CA"/>
        </w:rPr>
        <w:t xml:space="preserve"> centr</w:t>
      </w:r>
      <w:r w:rsidR="008E7246">
        <w:rPr>
          <w:lang w:val="fr-CA"/>
        </w:rPr>
        <w:t>aux</w:t>
      </w:r>
      <w:r w:rsidRPr="00E40B54">
        <w:rPr>
          <w:lang w:val="fr-CA"/>
        </w:rPr>
        <w:t xml:space="preserve"> des barres adjacentes à sommet plat et</w:t>
      </w:r>
      <w:r w:rsidR="006274B0">
        <w:rPr>
          <w:lang w:val="fr-CA"/>
        </w:rPr>
        <w:t xml:space="preserve"> </w:t>
      </w:r>
      <w:r w:rsidRPr="00E40B54">
        <w:rPr>
          <w:lang w:val="fr-CA"/>
        </w:rPr>
        <w:t>allongées.</w:t>
      </w:r>
    </w:p>
    <w:p w14:paraId="15EBA905" w14:textId="0CB8C286" w:rsidR="000E7280" w:rsidRDefault="000E7280" w:rsidP="000E7280">
      <w:pPr>
        <w:pStyle w:val="ListRef"/>
      </w:pPr>
      <w:proofErr w:type="spellStart"/>
      <w:r>
        <w:t>L</w:t>
      </w:r>
      <w:r w:rsidR="002D71BC">
        <w:t>’</w:t>
      </w:r>
      <w:r>
        <w:t>espacement</w:t>
      </w:r>
      <w:proofErr w:type="spellEnd"/>
      <w:r>
        <w:t xml:space="preserve"> des barres </w:t>
      </w:r>
      <w:proofErr w:type="gramStart"/>
      <w:r>
        <w:t>doit</w:t>
      </w:r>
      <w:r w:rsidR="001C5600">
        <w:t> </w:t>
      </w:r>
      <w:r>
        <w:t>:</w:t>
      </w:r>
      <w:proofErr w:type="gramEnd"/>
    </w:p>
    <w:p w14:paraId="0CBFF166" w14:textId="16C627F2" w:rsidR="000E7280" w:rsidRPr="00E40B54" w:rsidRDefault="000E7280" w:rsidP="003F66F0">
      <w:pPr>
        <w:pStyle w:val="ListRef"/>
        <w:numPr>
          <w:ilvl w:val="0"/>
          <w:numId w:val="39"/>
        </w:numPr>
        <w:rPr>
          <w:lang w:val="fr-CA"/>
        </w:rPr>
      </w:pPr>
      <w:proofErr w:type="gramStart"/>
      <w:r w:rsidRPr="00E40B54">
        <w:rPr>
          <w:lang w:val="fr-CA"/>
        </w:rPr>
        <w:t>correspond</w:t>
      </w:r>
      <w:r w:rsidR="004F5095">
        <w:rPr>
          <w:lang w:val="fr-CA"/>
        </w:rPr>
        <w:t>a</w:t>
      </w:r>
      <w:r w:rsidRPr="00E40B54">
        <w:rPr>
          <w:lang w:val="fr-CA"/>
        </w:rPr>
        <w:t>nt</w:t>
      </w:r>
      <w:proofErr w:type="gramEnd"/>
      <w:r w:rsidRPr="00E40B54">
        <w:rPr>
          <w:lang w:val="fr-CA"/>
        </w:rPr>
        <w:t xml:space="preserve"> à la largeur supérieure, comme spécifié dans le tableau</w:t>
      </w:r>
      <w:r w:rsidR="008E7246" w:rsidRPr="008E7246">
        <w:rPr>
          <w:lang w:val="fr-CA"/>
        </w:rPr>
        <w:t xml:space="preserve"> </w:t>
      </w:r>
      <w:r w:rsidR="008E7246">
        <w:fldChar w:fldCharType="begin"/>
      </w:r>
      <w:r w:rsidR="008E7246" w:rsidRPr="007C0FBA">
        <w:rPr>
          <w:lang w:val="fr-CA"/>
        </w:rPr>
        <w:instrText>HYPERLINK \l "Tableau4"</w:instrText>
      </w:r>
      <w:r w:rsidR="008E7246">
        <w:fldChar w:fldCharType="separate"/>
      </w:r>
      <w:r w:rsidR="008E7246" w:rsidRPr="008E7246">
        <w:rPr>
          <w:rStyle w:val="Hyperlink"/>
          <w:lang w:val="fr-CA"/>
        </w:rPr>
        <w:t>4</w:t>
      </w:r>
      <w:r w:rsidR="008E7246">
        <w:fldChar w:fldCharType="end"/>
      </w:r>
      <w:r w:rsidRPr="00E40B54">
        <w:rPr>
          <w:lang w:val="fr-CA"/>
        </w:rPr>
        <w:t>; et</w:t>
      </w:r>
    </w:p>
    <w:p w14:paraId="3A9C7B98" w14:textId="7281A4E5" w:rsidR="000E7280" w:rsidRPr="00E40B54" w:rsidRDefault="006C131C" w:rsidP="003F66F0">
      <w:pPr>
        <w:pStyle w:val="ListRef"/>
        <w:numPr>
          <w:ilvl w:val="0"/>
          <w:numId w:val="39"/>
        </w:numPr>
        <w:rPr>
          <w:lang w:val="fr-CA"/>
        </w:rPr>
      </w:pPr>
      <w:proofErr w:type="gramStart"/>
      <w:r>
        <w:rPr>
          <w:lang w:val="fr-CA"/>
        </w:rPr>
        <w:t>avoir</w:t>
      </w:r>
      <w:proofErr w:type="gramEnd"/>
      <w:r>
        <w:rPr>
          <w:lang w:val="fr-CA"/>
        </w:rPr>
        <w:t xml:space="preserve"> </w:t>
      </w:r>
      <w:r w:rsidR="000E7280" w:rsidRPr="00E40B54">
        <w:rPr>
          <w:lang w:val="fr-CA"/>
        </w:rPr>
        <w:t>une tolérance en largeur maximale de ±1</w:t>
      </w:r>
      <w:r w:rsidR="003B2C52">
        <w:rPr>
          <w:lang w:val="fr-CA"/>
        </w:rPr>
        <w:t> </w:t>
      </w:r>
      <w:proofErr w:type="spellStart"/>
      <w:r w:rsidR="000E7280" w:rsidRPr="00E40B54">
        <w:rPr>
          <w:lang w:val="fr-CA"/>
        </w:rPr>
        <w:t>mm.</w:t>
      </w:r>
      <w:proofErr w:type="spellEnd"/>
    </w:p>
    <w:p w14:paraId="7BE85064" w14:textId="3E7F7B71" w:rsidR="000E7280" w:rsidRDefault="00DE7D71" w:rsidP="00DE7D71">
      <w:pPr>
        <w:pStyle w:val="Heading5"/>
      </w:pPr>
      <w:proofErr w:type="spellStart"/>
      <w:r>
        <w:t>Largeur</w:t>
      </w:r>
      <w:proofErr w:type="spellEnd"/>
      <w:r>
        <w:t xml:space="preserve"> du motif</w:t>
      </w:r>
    </w:p>
    <w:p w14:paraId="3CA74531" w14:textId="753AF29B" w:rsidR="00DE7D71" w:rsidRPr="00E40B54" w:rsidRDefault="00DE7D71" w:rsidP="00DE7D71">
      <w:pPr>
        <w:rPr>
          <w:lang w:val="fr-CA"/>
        </w:rPr>
      </w:pPr>
      <w:r w:rsidRPr="00E40B54">
        <w:rPr>
          <w:lang w:val="fr-CA"/>
        </w:rPr>
        <w:t>La largeur d</w:t>
      </w:r>
      <w:r w:rsidR="002D71BC">
        <w:rPr>
          <w:lang w:val="fr-CA"/>
        </w:rPr>
        <w:t>’</w:t>
      </w:r>
      <w:r w:rsidRPr="00E40B54">
        <w:rPr>
          <w:lang w:val="fr-CA"/>
        </w:rPr>
        <w:t>un indicateur de direction doit</w:t>
      </w:r>
      <w:r w:rsidR="001C5600">
        <w:rPr>
          <w:lang w:val="fr-CA"/>
        </w:rPr>
        <w:t> </w:t>
      </w:r>
      <w:r w:rsidRPr="00E40B54">
        <w:rPr>
          <w:lang w:val="fr-CA"/>
        </w:rPr>
        <w:t>:</w:t>
      </w:r>
    </w:p>
    <w:p w14:paraId="781638BF" w14:textId="76CF17DF" w:rsidR="00DE7D71" w:rsidRPr="00E40B54" w:rsidRDefault="00DE7D71" w:rsidP="003F66F0">
      <w:pPr>
        <w:pStyle w:val="ListRef"/>
        <w:numPr>
          <w:ilvl w:val="0"/>
          <w:numId w:val="40"/>
        </w:numPr>
        <w:rPr>
          <w:lang w:val="fr-CA"/>
        </w:rPr>
      </w:pPr>
      <w:proofErr w:type="gramStart"/>
      <w:r w:rsidRPr="00E40B54">
        <w:rPr>
          <w:lang w:val="fr-CA"/>
        </w:rPr>
        <w:t>être</w:t>
      </w:r>
      <w:proofErr w:type="gramEnd"/>
      <w:r w:rsidRPr="00E40B54">
        <w:rPr>
          <w:lang w:val="fr-CA"/>
        </w:rPr>
        <w:t xml:space="preserve"> entre 250 et 300</w:t>
      </w:r>
      <w:r w:rsidR="003B2C52">
        <w:rPr>
          <w:lang w:val="fr-CA"/>
        </w:rPr>
        <w:t> </w:t>
      </w:r>
      <w:r w:rsidRPr="00E40B54">
        <w:rPr>
          <w:lang w:val="fr-CA"/>
        </w:rPr>
        <w:t>mm lorsqu</w:t>
      </w:r>
      <w:r w:rsidR="002D71BC">
        <w:rPr>
          <w:lang w:val="fr-CA"/>
        </w:rPr>
        <w:t>’</w:t>
      </w:r>
      <w:r w:rsidRPr="00E40B54">
        <w:rPr>
          <w:lang w:val="fr-CA"/>
        </w:rPr>
        <w:t>elle est installée sur un</w:t>
      </w:r>
      <w:r w:rsidR="008B5B58">
        <w:rPr>
          <w:lang w:val="fr-CA"/>
        </w:rPr>
        <w:t>e</w:t>
      </w:r>
      <w:r w:rsidRPr="00E40B54">
        <w:rPr>
          <w:lang w:val="fr-CA"/>
        </w:rPr>
        <w:t xml:space="preserve"> </w:t>
      </w:r>
      <w:r w:rsidR="00A737E3">
        <w:rPr>
          <w:lang w:val="fr-CA"/>
        </w:rPr>
        <w:t xml:space="preserve">voie </w:t>
      </w:r>
      <w:r w:rsidRPr="00E40B54">
        <w:rPr>
          <w:lang w:val="fr-CA"/>
        </w:rPr>
        <w:t>défini</w:t>
      </w:r>
      <w:r w:rsidR="0084656F">
        <w:rPr>
          <w:lang w:val="fr-CA"/>
        </w:rPr>
        <w:t>e</w:t>
      </w:r>
      <w:r w:rsidRPr="00E40B54">
        <w:rPr>
          <w:lang w:val="fr-CA"/>
        </w:rPr>
        <w:t>; et</w:t>
      </w:r>
    </w:p>
    <w:p w14:paraId="078BF053" w14:textId="471D6FC5" w:rsidR="00DE7D71" w:rsidRPr="000B2B22" w:rsidRDefault="00DE7D71" w:rsidP="003F66F0">
      <w:pPr>
        <w:pStyle w:val="ListRef"/>
        <w:numPr>
          <w:ilvl w:val="0"/>
          <w:numId w:val="40"/>
        </w:numPr>
        <w:rPr>
          <w:lang w:val="fr-CA"/>
        </w:rPr>
      </w:pPr>
      <w:proofErr w:type="gramStart"/>
      <w:r w:rsidRPr="00E40B54">
        <w:rPr>
          <w:lang w:val="fr-CA"/>
        </w:rPr>
        <w:t>s</w:t>
      </w:r>
      <w:r w:rsidR="002D71BC">
        <w:rPr>
          <w:lang w:val="fr-CA"/>
        </w:rPr>
        <w:t>’</w:t>
      </w:r>
      <w:r w:rsidRPr="00E40B54">
        <w:rPr>
          <w:lang w:val="fr-CA"/>
        </w:rPr>
        <w:t>il</w:t>
      </w:r>
      <w:proofErr w:type="gramEnd"/>
      <w:r w:rsidRPr="00E40B54">
        <w:rPr>
          <w:lang w:val="fr-CA"/>
        </w:rPr>
        <w:t xml:space="preserve"> est installé sur un</w:t>
      </w:r>
      <w:r w:rsidR="00101FA1">
        <w:rPr>
          <w:lang w:val="fr-CA"/>
        </w:rPr>
        <w:t>e voie de circulation</w:t>
      </w:r>
      <w:r w:rsidRPr="000B2B22">
        <w:rPr>
          <w:lang w:val="fr-CA"/>
        </w:rPr>
        <w:t xml:space="preserve"> comme indicateur d</w:t>
      </w:r>
      <w:r w:rsidR="002D71BC">
        <w:rPr>
          <w:lang w:val="fr-CA"/>
        </w:rPr>
        <w:t>’</w:t>
      </w:r>
      <w:r w:rsidRPr="000B2B22">
        <w:rPr>
          <w:lang w:val="fr-CA"/>
        </w:rPr>
        <w:t>une installation ou d</w:t>
      </w:r>
      <w:r w:rsidR="002D71BC">
        <w:rPr>
          <w:lang w:val="fr-CA"/>
        </w:rPr>
        <w:t>’</w:t>
      </w:r>
      <w:r w:rsidRPr="000B2B22">
        <w:rPr>
          <w:lang w:val="fr-CA"/>
        </w:rPr>
        <w:t>un</w:t>
      </w:r>
      <w:r w:rsidR="0018765A">
        <w:rPr>
          <w:lang w:val="fr-CA"/>
        </w:rPr>
        <w:t xml:space="preserve"> changement de</w:t>
      </w:r>
      <w:r w:rsidRPr="000B2B22">
        <w:rPr>
          <w:lang w:val="fr-CA"/>
        </w:rPr>
        <w:t xml:space="preserve"> </w:t>
      </w:r>
      <w:r w:rsidR="008C6F1D">
        <w:rPr>
          <w:lang w:val="fr-CA"/>
        </w:rPr>
        <w:t>voie</w:t>
      </w:r>
      <w:r w:rsidR="00735B7D">
        <w:rPr>
          <w:lang w:val="fr-CA"/>
        </w:rPr>
        <w:t> </w:t>
      </w:r>
      <w:r w:rsidRPr="000B2B22">
        <w:rPr>
          <w:lang w:val="fr-CA"/>
        </w:rPr>
        <w:t>:</w:t>
      </w:r>
    </w:p>
    <w:p w14:paraId="1E8F5A39" w14:textId="15814B33" w:rsidR="00DE7D71" w:rsidRPr="000B2B22" w:rsidRDefault="00DE7D71" w:rsidP="003F66F0">
      <w:pPr>
        <w:pStyle w:val="ListRef"/>
        <w:numPr>
          <w:ilvl w:val="1"/>
          <w:numId w:val="40"/>
        </w:numPr>
        <w:rPr>
          <w:lang w:val="fr-CA"/>
        </w:rPr>
      </w:pPr>
      <w:proofErr w:type="gramStart"/>
      <w:r w:rsidRPr="000B2B22">
        <w:rPr>
          <w:lang w:val="fr-CA"/>
        </w:rPr>
        <w:lastRenderedPageBreak/>
        <w:t>être</w:t>
      </w:r>
      <w:proofErr w:type="gramEnd"/>
      <w:r w:rsidRPr="000B2B22">
        <w:rPr>
          <w:lang w:val="fr-CA"/>
        </w:rPr>
        <w:t xml:space="preserve"> entre 600 et 650</w:t>
      </w:r>
      <w:r w:rsidR="003B2C52">
        <w:rPr>
          <w:lang w:val="fr-CA"/>
        </w:rPr>
        <w:t> </w:t>
      </w:r>
      <w:r w:rsidRPr="000B2B22">
        <w:rPr>
          <w:lang w:val="fr-CA"/>
        </w:rPr>
        <w:t>mm</w:t>
      </w:r>
      <w:r w:rsidR="00A166BD">
        <w:rPr>
          <w:lang w:val="fr-CA"/>
        </w:rPr>
        <w:t>;</w:t>
      </w:r>
      <w:r w:rsidRPr="000B2B22">
        <w:rPr>
          <w:lang w:val="fr-CA"/>
        </w:rPr>
        <w:t xml:space="preserve"> et</w:t>
      </w:r>
    </w:p>
    <w:p w14:paraId="67E3014C" w14:textId="2D0383D7" w:rsidR="00E45BC9" w:rsidRPr="000B2B22" w:rsidRDefault="0045099D" w:rsidP="003F66F0">
      <w:pPr>
        <w:pStyle w:val="ListRef"/>
        <w:numPr>
          <w:ilvl w:val="1"/>
          <w:numId w:val="40"/>
        </w:numPr>
        <w:rPr>
          <w:lang w:val="fr-CA"/>
        </w:rPr>
      </w:pPr>
      <w:proofErr w:type="gramStart"/>
      <w:r>
        <w:rPr>
          <w:lang w:val="fr-CA"/>
        </w:rPr>
        <w:t>avoir</w:t>
      </w:r>
      <w:proofErr w:type="gramEnd"/>
      <w:r>
        <w:rPr>
          <w:lang w:val="fr-CA"/>
        </w:rPr>
        <w:t xml:space="preserve"> d</w:t>
      </w:r>
      <w:r w:rsidR="00DE7D71" w:rsidRPr="000B2B22">
        <w:rPr>
          <w:lang w:val="fr-CA"/>
        </w:rPr>
        <w:t>es barres allongées dans la direction de l</w:t>
      </w:r>
      <w:r w:rsidR="009E20CA">
        <w:rPr>
          <w:lang w:val="fr-CA"/>
        </w:rPr>
        <w:t>’</w:t>
      </w:r>
      <w:r w:rsidR="00DE7D71" w:rsidRPr="000B2B22">
        <w:rPr>
          <w:lang w:val="fr-CA"/>
        </w:rPr>
        <w:t xml:space="preserve">installation ou </w:t>
      </w:r>
      <w:r>
        <w:rPr>
          <w:lang w:val="fr-CA"/>
        </w:rPr>
        <w:t>du</w:t>
      </w:r>
      <w:r w:rsidR="00DE7D71" w:rsidRPr="000B2B22">
        <w:rPr>
          <w:lang w:val="fr-CA"/>
        </w:rPr>
        <w:t xml:space="preserve"> </w:t>
      </w:r>
      <w:r w:rsidR="000B2B22" w:rsidRPr="000B2B22">
        <w:rPr>
          <w:lang w:val="fr-CA"/>
        </w:rPr>
        <w:t>change</w:t>
      </w:r>
      <w:r w:rsidR="000B2B22">
        <w:rPr>
          <w:lang w:val="fr-CA"/>
        </w:rPr>
        <w:t>ment</w:t>
      </w:r>
      <w:r w:rsidR="00DE7D71" w:rsidRPr="000B2B22">
        <w:rPr>
          <w:lang w:val="fr-CA"/>
        </w:rPr>
        <w:t xml:space="preserve"> de </w:t>
      </w:r>
      <w:r w:rsidR="000B2B22">
        <w:rPr>
          <w:lang w:val="fr-CA"/>
        </w:rPr>
        <w:t>voie</w:t>
      </w:r>
      <w:r w:rsidR="00DE7D71" w:rsidRPr="000B2B22">
        <w:rPr>
          <w:lang w:val="fr-CA"/>
        </w:rPr>
        <w:t>.</w:t>
      </w:r>
    </w:p>
    <w:p w14:paraId="24CA72DD" w14:textId="77777777" w:rsidR="00280D64" w:rsidRPr="000B2B22" w:rsidRDefault="00280D64">
      <w:pPr>
        <w:keepLines w:val="0"/>
        <w:spacing w:before="0" w:beforeAutospacing="0" w:line="259" w:lineRule="auto"/>
        <w:rPr>
          <w:rFonts w:eastAsiaTheme="majorEastAsia" w:cstheme="majorBidi"/>
          <w:b/>
          <w:sz w:val="56"/>
          <w:szCs w:val="32"/>
          <w:lang w:val="fr-CA"/>
        </w:rPr>
      </w:pPr>
      <w:r w:rsidRPr="000B2B22">
        <w:rPr>
          <w:lang w:val="fr-CA"/>
        </w:rPr>
        <w:br w:type="page"/>
      </w:r>
    </w:p>
    <w:p w14:paraId="0DEEF6CD" w14:textId="0D4B8217" w:rsidR="00E45BC9" w:rsidRDefault="00E45BC9" w:rsidP="00E45BC9">
      <w:pPr>
        <w:pStyle w:val="Heading1"/>
      </w:pPr>
      <w:bookmarkStart w:id="605" w:name="_Toc219706210"/>
      <w:r>
        <w:lastRenderedPageBreak/>
        <w:t>Signalisation</w:t>
      </w:r>
      <w:bookmarkEnd w:id="605"/>
    </w:p>
    <w:p w14:paraId="390A6B3C" w14:textId="4FAF521E" w:rsidR="00E45BC9" w:rsidRDefault="00E45BC9" w:rsidP="00E45BC9">
      <w:pPr>
        <w:pStyle w:val="Heading2"/>
      </w:pPr>
      <w:bookmarkStart w:id="606" w:name="_Toc219706211"/>
      <w:proofErr w:type="spellStart"/>
      <w:r>
        <w:t>Général</w:t>
      </w:r>
      <w:bookmarkEnd w:id="606"/>
      <w:proofErr w:type="spellEnd"/>
    </w:p>
    <w:p w14:paraId="4195F104" w14:textId="6FF7C97C" w:rsidR="007203BF" w:rsidRPr="00F7104E" w:rsidRDefault="007203BF" w:rsidP="007203BF">
      <w:pPr>
        <w:rPr>
          <w:lang w:val="fr-CA"/>
        </w:rPr>
      </w:pPr>
      <w:r w:rsidRPr="00F7104E">
        <w:rPr>
          <w:lang w:val="fr-CA"/>
        </w:rPr>
        <w:t>La signalisation est une partie essentielle pour rendre les bâtiments, structures et espaces conçus</w:t>
      </w:r>
      <w:r w:rsidR="0084656F">
        <w:rPr>
          <w:lang w:val="fr-CA"/>
        </w:rPr>
        <w:t>,</w:t>
      </w:r>
      <w:r w:rsidRPr="00F7104E">
        <w:rPr>
          <w:lang w:val="fr-CA"/>
        </w:rPr>
        <w:t xml:space="preserve"> cohérents, fonctionnels et sécuritaires pour tous les usagers. Cela inclut les employés, les visiteurs et les premiers intervenants. La signalisation fournit des indications aux points </w:t>
      </w:r>
      <w:r w:rsidR="00901AA9">
        <w:rPr>
          <w:lang w:val="fr-CA"/>
        </w:rPr>
        <w:t>importantes</w:t>
      </w:r>
      <w:r w:rsidRPr="00F7104E">
        <w:rPr>
          <w:lang w:val="fr-CA"/>
        </w:rPr>
        <w:t xml:space="preserve"> de décision le long des </w:t>
      </w:r>
      <w:r w:rsidR="005C4F3E">
        <w:rPr>
          <w:lang w:val="fr-CA"/>
        </w:rPr>
        <w:t>voies</w:t>
      </w:r>
      <w:r w:rsidRPr="00F7104E">
        <w:rPr>
          <w:lang w:val="fr-CA"/>
        </w:rPr>
        <w:t xml:space="preserve"> naturel</w:t>
      </w:r>
      <w:r w:rsidR="0084656F">
        <w:rPr>
          <w:lang w:val="fr-CA"/>
        </w:rPr>
        <w:t>le</w:t>
      </w:r>
      <w:r w:rsidRPr="00F7104E">
        <w:rPr>
          <w:lang w:val="fr-CA"/>
        </w:rPr>
        <w:t>s de circulation et fonctionne en harmonie avec les caractéristiques naturelles de l</w:t>
      </w:r>
      <w:r w:rsidR="009E20CA">
        <w:rPr>
          <w:lang w:val="fr-CA"/>
        </w:rPr>
        <w:t>’</w:t>
      </w:r>
      <w:r w:rsidRPr="00F7104E">
        <w:rPr>
          <w:lang w:val="fr-CA"/>
        </w:rPr>
        <w:t>architecture, des structures, de l</w:t>
      </w:r>
      <w:r w:rsidR="009E20CA">
        <w:rPr>
          <w:lang w:val="fr-CA"/>
        </w:rPr>
        <w:t>’</w:t>
      </w:r>
      <w:r w:rsidRPr="00F7104E">
        <w:rPr>
          <w:lang w:val="fr-CA"/>
        </w:rPr>
        <w:t>éclairage et du son. La signalisation combine une variété d</w:t>
      </w:r>
      <w:r w:rsidR="009E20CA">
        <w:rPr>
          <w:lang w:val="fr-CA"/>
        </w:rPr>
        <w:t>’</w:t>
      </w:r>
      <w:r w:rsidRPr="00F7104E">
        <w:rPr>
          <w:lang w:val="fr-CA"/>
        </w:rPr>
        <w:t>indices, y compris la terminologie commune, les symboles, la couleur et les caractéristiques tactiles, pour aider les personnes de toutes capacités à naviguer efficacement dans ces espaces — qu</w:t>
      </w:r>
      <w:r w:rsidR="009E20CA">
        <w:rPr>
          <w:lang w:val="fr-CA"/>
        </w:rPr>
        <w:t>’</w:t>
      </w:r>
      <w:r w:rsidRPr="00F7104E">
        <w:rPr>
          <w:lang w:val="fr-CA"/>
        </w:rPr>
        <w:t>il s</w:t>
      </w:r>
      <w:r w:rsidR="009E20CA">
        <w:rPr>
          <w:lang w:val="fr-CA"/>
        </w:rPr>
        <w:t>’</w:t>
      </w:r>
      <w:r w:rsidRPr="00F7104E">
        <w:rPr>
          <w:lang w:val="fr-CA"/>
        </w:rPr>
        <w:t>agisse de localiser des chambres, des services, des commodités ou des dispositifs d</w:t>
      </w:r>
      <w:r w:rsidR="009E20CA">
        <w:rPr>
          <w:lang w:val="fr-CA"/>
        </w:rPr>
        <w:t>’</w:t>
      </w:r>
      <w:r w:rsidRPr="00F7104E">
        <w:rPr>
          <w:lang w:val="fr-CA"/>
        </w:rPr>
        <w:t>urgence.</w:t>
      </w:r>
    </w:p>
    <w:p w14:paraId="304C0BAF" w14:textId="04997711" w:rsidR="007203BF" w:rsidRPr="00A218CD" w:rsidRDefault="007203BF" w:rsidP="007203BF">
      <w:r w:rsidRPr="00A218CD">
        <w:t xml:space="preserve">La signalisation </w:t>
      </w:r>
      <w:proofErr w:type="gramStart"/>
      <w:r w:rsidRPr="00A218CD">
        <w:t>doit</w:t>
      </w:r>
      <w:r w:rsidR="001C5600">
        <w:t> </w:t>
      </w:r>
      <w:r w:rsidRPr="00A218CD">
        <w:t>:</w:t>
      </w:r>
      <w:proofErr w:type="gramEnd"/>
    </w:p>
    <w:p w14:paraId="7068FB42" w14:textId="247BF3DA" w:rsidR="007203BF" w:rsidRPr="00F7104E" w:rsidRDefault="007203BF" w:rsidP="003F66F0">
      <w:pPr>
        <w:pStyle w:val="ListRef"/>
        <w:numPr>
          <w:ilvl w:val="0"/>
          <w:numId w:val="41"/>
        </w:numPr>
        <w:rPr>
          <w:lang w:val="fr-CA"/>
        </w:rPr>
      </w:pPr>
      <w:proofErr w:type="gramStart"/>
      <w:r w:rsidRPr="00F7104E">
        <w:rPr>
          <w:lang w:val="fr-CA"/>
        </w:rPr>
        <w:t>être</w:t>
      </w:r>
      <w:proofErr w:type="gramEnd"/>
      <w:r w:rsidRPr="00F7104E">
        <w:rPr>
          <w:lang w:val="fr-CA"/>
        </w:rPr>
        <w:t xml:space="preserve"> installé de façon cohérente pour créer de la prévisibilité pour l</w:t>
      </w:r>
      <w:r w:rsidR="009E20CA">
        <w:rPr>
          <w:lang w:val="fr-CA"/>
        </w:rPr>
        <w:t>’</w:t>
      </w:r>
      <w:r w:rsidRPr="00F7104E">
        <w:rPr>
          <w:lang w:val="fr-CA"/>
        </w:rPr>
        <w:t>utilisateur;</w:t>
      </w:r>
    </w:p>
    <w:p w14:paraId="067C0625" w14:textId="12361D9D" w:rsidR="007203BF" w:rsidRPr="00F7104E" w:rsidRDefault="008D041B" w:rsidP="003F66F0">
      <w:pPr>
        <w:pStyle w:val="ListRef"/>
        <w:numPr>
          <w:ilvl w:val="0"/>
          <w:numId w:val="41"/>
        </w:numPr>
        <w:rPr>
          <w:lang w:val="fr-CA"/>
        </w:rPr>
      </w:pPr>
      <w:proofErr w:type="gramStart"/>
      <w:r>
        <w:rPr>
          <w:lang w:val="fr-CA"/>
        </w:rPr>
        <w:t>lo</w:t>
      </w:r>
      <w:r w:rsidR="007203BF" w:rsidRPr="00F7104E">
        <w:rPr>
          <w:lang w:val="fr-CA"/>
        </w:rPr>
        <w:t>rsqu</w:t>
      </w:r>
      <w:r w:rsidR="009E20CA">
        <w:rPr>
          <w:lang w:val="fr-CA"/>
        </w:rPr>
        <w:t>’</w:t>
      </w:r>
      <w:r w:rsidR="007203BF" w:rsidRPr="00F7104E">
        <w:rPr>
          <w:lang w:val="fr-CA"/>
        </w:rPr>
        <w:t>il</w:t>
      </w:r>
      <w:proofErr w:type="gramEnd"/>
      <w:r w:rsidR="007203BF" w:rsidRPr="00F7104E">
        <w:rPr>
          <w:lang w:val="fr-CA"/>
        </w:rPr>
        <w:t xml:space="preserve"> s</w:t>
      </w:r>
      <w:r w:rsidR="009E20CA">
        <w:rPr>
          <w:lang w:val="fr-CA"/>
        </w:rPr>
        <w:t>’</w:t>
      </w:r>
      <w:r w:rsidR="007203BF" w:rsidRPr="00F7104E">
        <w:rPr>
          <w:lang w:val="fr-CA"/>
        </w:rPr>
        <w:t>agit de signalisation directionnelle, guide</w:t>
      </w:r>
      <w:r>
        <w:rPr>
          <w:lang w:val="fr-CA"/>
        </w:rPr>
        <w:t>r</w:t>
      </w:r>
      <w:r w:rsidR="007203BF" w:rsidRPr="00F7104E">
        <w:rPr>
          <w:lang w:val="fr-CA"/>
        </w:rPr>
        <w:t xml:space="preserve"> les </w:t>
      </w:r>
      <w:r w:rsidR="007B684F">
        <w:rPr>
          <w:lang w:val="fr-CA"/>
        </w:rPr>
        <w:t>personnes</w:t>
      </w:r>
      <w:r w:rsidR="007203BF" w:rsidRPr="00F7104E">
        <w:rPr>
          <w:lang w:val="fr-CA"/>
        </w:rPr>
        <w:t xml:space="preserve"> jusqu</w:t>
      </w:r>
      <w:r w:rsidR="009E20CA">
        <w:rPr>
          <w:lang w:val="fr-CA"/>
        </w:rPr>
        <w:t>’</w:t>
      </w:r>
      <w:r w:rsidR="007203BF" w:rsidRPr="00F7104E">
        <w:rPr>
          <w:lang w:val="fr-CA"/>
        </w:rPr>
        <w:t>à leur destination et retour sans se sentir perdus, même lorsqu</w:t>
      </w:r>
      <w:r w:rsidR="009E20CA">
        <w:rPr>
          <w:lang w:val="fr-CA"/>
        </w:rPr>
        <w:t>’</w:t>
      </w:r>
      <w:r w:rsidR="007203BF" w:rsidRPr="00F7104E">
        <w:rPr>
          <w:lang w:val="fr-CA"/>
        </w:rPr>
        <w:t>ils ne connaissent pas l</w:t>
      </w:r>
      <w:r w:rsidR="009E20CA">
        <w:rPr>
          <w:lang w:val="fr-CA"/>
        </w:rPr>
        <w:t>’</w:t>
      </w:r>
      <w:r w:rsidR="007203BF" w:rsidRPr="00F7104E">
        <w:rPr>
          <w:lang w:val="fr-CA"/>
        </w:rPr>
        <w:t>environnement;</w:t>
      </w:r>
    </w:p>
    <w:p w14:paraId="5F0473F5" w14:textId="20CA44DC" w:rsidR="007203BF" w:rsidRPr="00F7104E" w:rsidRDefault="007203BF" w:rsidP="003F66F0">
      <w:pPr>
        <w:pStyle w:val="ListRef"/>
        <w:numPr>
          <w:ilvl w:val="0"/>
          <w:numId w:val="41"/>
        </w:numPr>
        <w:rPr>
          <w:lang w:val="fr-CA"/>
        </w:rPr>
      </w:pPr>
      <w:proofErr w:type="gramStart"/>
      <w:r w:rsidRPr="00F7104E">
        <w:rPr>
          <w:lang w:val="fr-CA"/>
        </w:rPr>
        <w:t>inclure</w:t>
      </w:r>
      <w:proofErr w:type="gramEnd"/>
      <w:r w:rsidRPr="00F7104E">
        <w:rPr>
          <w:lang w:val="fr-CA"/>
        </w:rPr>
        <w:t xml:space="preserve"> du texte tactile, des symboles graphiques, des pictogrammes et du braille lorsqu</w:t>
      </w:r>
      <w:r w:rsidR="009E20CA">
        <w:rPr>
          <w:lang w:val="fr-CA"/>
        </w:rPr>
        <w:t>’</w:t>
      </w:r>
      <w:r w:rsidRPr="00F7104E">
        <w:rPr>
          <w:lang w:val="fr-CA"/>
        </w:rPr>
        <w:t>ils sont installés à portée latérale ou frontale;</w:t>
      </w:r>
    </w:p>
    <w:p w14:paraId="48E178E3" w14:textId="77777777" w:rsidR="007203BF" w:rsidRPr="00F7104E" w:rsidRDefault="007203BF" w:rsidP="003F66F0">
      <w:pPr>
        <w:pStyle w:val="ListRef"/>
        <w:numPr>
          <w:ilvl w:val="0"/>
          <w:numId w:val="41"/>
        </w:numPr>
        <w:rPr>
          <w:lang w:val="fr-CA"/>
        </w:rPr>
      </w:pPr>
      <w:proofErr w:type="gramStart"/>
      <w:r w:rsidRPr="00F7104E">
        <w:rPr>
          <w:lang w:val="fr-CA"/>
        </w:rPr>
        <w:t>être</w:t>
      </w:r>
      <w:proofErr w:type="gramEnd"/>
      <w:r w:rsidRPr="00F7104E">
        <w:rPr>
          <w:lang w:val="fr-CA"/>
        </w:rPr>
        <w:t xml:space="preserve"> peu éblouissant et offrir un contraste élevé;</w:t>
      </w:r>
    </w:p>
    <w:p w14:paraId="0CE7721C" w14:textId="16C73298" w:rsidR="007203BF" w:rsidRPr="00BB636B" w:rsidRDefault="0084656F" w:rsidP="003F66F0">
      <w:pPr>
        <w:pStyle w:val="ListRef"/>
        <w:numPr>
          <w:ilvl w:val="0"/>
          <w:numId w:val="41"/>
        </w:numPr>
      </w:pPr>
      <w:r>
        <w:t xml:space="preserve">ne </w:t>
      </w:r>
      <w:r w:rsidR="007203BF" w:rsidRPr="00BB636B">
        <w:t xml:space="preserve">pas </w:t>
      </w:r>
      <w:proofErr w:type="spellStart"/>
      <w:r w:rsidR="007203BF" w:rsidRPr="00BB636B">
        <w:t>être</w:t>
      </w:r>
      <w:proofErr w:type="spellEnd"/>
      <w:r w:rsidR="007203BF" w:rsidRPr="00BB636B">
        <w:t xml:space="preserve"> </w:t>
      </w:r>
      <w:proofErr w:type="spellStart"/>
      <w:proofErr w:type="gramStart"/>
      <w:r w:rsidR="007203BF" w:rsidRPr="00BB636B">
        <w:t>obstrué</w:t>
      </w:r>
      <w:proofErr w:type="spellEnd"/>
      <w:r w:rsidR="007203BF" w:rsidRPr="00BB636B">
        <w:t>;</w:t>
      </w:r>
      <w:proofErr w:type="gramEnd"/>
    </w:p>
    <w:p w14:paraId="26116740" w14:textId="422A49E6" w:rsidR="007203BF" w:rsidRPr="008D041B" w:rsidRDefault="007203BF" w:rsidP="003F66F0">
      <w:pPr>
        <w:pStyle w:val="ListRef"/>
        <w:numPr>
          <w:ilvl w:val="0"/>
          <w:numId w:val="41"/>
        </w:numPr>
        <w:rPr>
          <w:lang w:val="fr-CA"/>
        </w:rPr>
      </w:pPr>
      <w:proofErr w:type="gramStart"/>
      <w:r w:rsidRPr="008D041B">
        <w:rPr>
          <w:lang w:val="fr-CA"/>
        </w:rPr>
        <w:t>utiliser</w:t>
      </w:r>
      <w:proofErr w:type="gramEnd"/>
      <w:r w:rsidRPr="008D041B">
        <w:rPr>
          <w:lang w:val="fr-CA"/>
        </w:rPr>
        <w:t xml:space="preserve"> le symbole d</w:t>
      </w:r>
      <w:r w:rsidR="009E20CA">
        <w:rPr>
          <w:lang w:val="fr-CA"/>
        </w:rPr>
        <w:t>’</w:t>
      </w:r>
      <w:r w:rsidRPr="008D041B">
        <w:rPr>
          <w:lang w:val="fr-CA"/>
        </w:rPr>
        <w:t>accès lorsqu</w:t>
      </w:r>
      <w:r w:rsidR="009E20CA">
        <w:rPr>
          <w:lang w:val="fr-CA"/>
        </w:rPr>
        <w:t>’</w:t>
      </w:r>
      <w:r w:rsidRPr="008D041B">
        <w:rPr>
          <w:lang w:val="fr-CA"/>
        </w:rPr>
        <w:t>il est nécessaire d</w:t>
      </w:r>
      <w:r w:rsidR="009E20CA">
        <w:rPr>
          <w:lang w:val="fr-CA"/>
        </w:rPr>
        <w:t>’</w:t>
      </w:r>
      <w:r w:rsidRPr="008D041B">
        <w:rPr>
          <w:lang w:val="fr-CA"/>
        </w:rPr>
        <w:t xml:space="preserve">identifier un </w:t>
      </w:r>
      <w:r w:rsidR="006614C1">
        <w:rPr>
          <w:lang w:val="fr-CA"/>
        </w:rPr>
        <w:t>chemin</w:t>
      </w:r>
      <w:r w:rsidRPr="008D041B">
        <w:rPr>
          <w:lang w:val="fr-CA"/>
        </w:rPr>
        <w:t xml:space="preserve"> sans obstacle ou une commodité conçue pour répondre aux besoins de personnes spécifiques;</w:t>
      </w:r>
    </w:p>
    <w:p w14:paraId="04B2DC3E" w14:textId="24732678" w:rsidR="007203BF" w:rsidRPr="008D041B" w:rsidRDefault="00CB271A" w:rsidP="003F66F0">
      <w:pPr>
        <w:pStyle w:val="ListRef"/>
        <w:numPr>
          <w:ilvl w:val="0"/>
          <w:numId w:val="41"/>
        </w:numPr>
        <w:rPr>
          <w:lang w:val="fr-CA"/>
        </w:rPr>
      </w:pPr>
      <w:proofErr w:type="gramStart"/>
      <w:r>
        <w:rPr>
          <w:lang w:val="fr-CA"/>
        </w:rPr>
        <w:lastRenderedPageBreak/>
        <w:t>avoir</w:t>
      </w:r>
      <w:proofErr w:type="gramEnd"/>
      <w:r w:rsidR="007203BF" w:rsidRPr="008D041B">
        <w:rPr>
          <w:lang w:val="fr-CA"/>
        </w:rPr>
        <w:t xml:space="preserve"> le texte et le braille associés au symbole d</w:t>
      </w:r>
      <w:r w:rsidR="009E20CA">
        <w:rPr>
          <w:lang w:val="fr-CA"/>
        </w:rPr>
        <w:t>’</w:t>
      </w:r>
      <w:r w:rsidR="007203BF" w:rsidRPr="008D041B">
        <w:rPr>
          <w:lang w:val="fr-CA"/>
        </w:rPr>
        <w:t>accès indique que l</w:t>
      </w:r>
      <w:r w:rsidR="00D03B94">
        <w:rPr>
          <w:lang w:val="fr-CA"/>
        </w:rPr>
        <w:t>a</w:t>
      </w:r>
      <w:r w:rsidR="007203BF" w:rsidRPr="008D041B">
        <w:rPr>
          <w:lang w:val="fr-CA"/>
        </w:rPr>
        <w:t xml:space="preserve"> </w:t>
      </w:r>
      <w:r>
        <w:rPr>
          <w:lang w:val="fr-CA"/>
        </w:rPr>
        <w:t>voie</w:t>
      </w:r>
      <w:r w:rsidR="007203BF" w:rsidRPr="008D041B">
        <w:rPr>
          <w:lang w:val="fr-CA"/>
        </w:rPr>
        <w:t xml:space="preserve"> ou les commodités sont accessibles;</w:t>
      </w:r>
    </w:p>
    <w:p w14:paraId="1D6139A2" w14:textId="45F7B9AF" w:rsidR="00D15343" w:rsidRPr="008D041B" w:rsidRDefault="005A11F4" w:rsidP="003F66F0">
      <w:pPr>
        <w:pStyle w:val="ListRef"/>
        <w:numPr>
          <w:ilvl w:val="0"/>
          <w:numId w:val="41"/>
        </w:numPr>
        <w:rPr>
          <w:lang w:val="fr-CA"/>
        </w:rPr>
      </w:pPr>
      <w:proofErr w:type="gramStart"/>
      <w:r>
        <w:rPr>
          <w:lang w:val="fr-CA"/>
        </w:rPr>
        <w:t>avoir</w:t>
      </w:r>
      <w:proofErr w:type="gramEnd"/>
      <w:r>
        <w:rPr>
          <w:lang w:val="fr-CA"/>
        </w:rPr>
        <w:t xml:space="preserve"> </w:t>
      </w:r>
      <w:r w:rsidR="00B07585">
        <w:rPr>
          <w:lang w:val="fr-CA"/>
        </w:rPr>
        <w:t xml:space="preserve">tous </w:t>
      </w:r>
      <w:r w:rsidR="00BD0074">
        <w:rPr>
          <w:lang w:val="fr-CA"/>
        </w:rPr>
        <w:t>l</w:t>
      </w:r>
      <w:r w:rsidR="007203BF" w:rsidRPr="008D041B">
        <w:rPr>
          <w:lang w:val="fr-CA"/>
        </w:rPr>
        <w:t xml:space="preserve">es </w:t>
      </w:r>
      <w:r w:rsidR="00DC28F4">
        <w:rPr>
          <w:lang w:val="fr-CA"/>
        </w:rPr>
        <w:t>dispositifs de signalisation</w:t>
      </w:r>
      <w:r w:rsidR="007203BF" w:rsidRPr="008D041B">
        <w:rPr>
          <w:lang w:val="fr-CA"/>
        </w:rPr>
        <w:t xml:space="preserve"> sonores et visuels, y compris ceux fournis pour la cartographie intérieure ou extérieure, </w:t>
      </w:r>
      <w:r w:rsidR="001C712D">
        <w:rPr>
          <w:lang w:val="fr-CA"/>
        </w:rPr>
        <w:t>test</w:t>
      </w:r>
      <w:r w:rsidR="001C712D">
        <w:rPr>
          <w:rFonts w:cs="Arial"/>
          <w:lang w:val="fr-CA"/>
        </w:rPr>
        <w:t>é</w:t>
      </w:r>
      <w:r w:rsidR="001C712D">
        <w:rPr>
          <w:lang w:val="fr-CA"/>
        </w:rPr>
        <w:t xml:space="preserve">s </w:t>
      </w:r>
      <w:r w:rsidR="007203BF" w:rsidRPr="008D041B">
        <w:rPr>
          <w:lang w:val="fr-CA"/>
        </w:rPr>
        <w:t>par des personnes qui les utiliseront pour confirmer l</w:t>
      </w:r>
      <w:r w:rsidR="009E20CA">
        <w:rPr>
          <w:lang w:val="fr-CA"/>
        </w:rPr>
        <w:t>’</w:t>
      </w:r>
      <w:r w:rsidR="007203BF" w:rsidRPr="008D041B">
        <w:rPr>
          <w:lang w:val="fr-CA"/>
        </w:rPr>
        <w:t>utilisabilité et la clarté; et</w:t>
      </w:r>
    </w:p>
    <w:p w14:paraId="314D231E" w14:textId="7C5D2BAB" w:rsidR="00E45BC9" w:rsidRDefault="007203BF" w:rsidP="003F66F0">
      <w:pPr>
        <w:pStyle w:val="ListRef"/>
        <w:numPr>
          <w:ilvl w:val="0"/>
          <w:numId w:val="41"/>
        </w:numPr>
      </w:pPr>
      <w:proofErr w:type="spellStart"/>
      <w:r w:rsidRPr="00BB636B">
        <w:t>être</w:t>
      </w:r>
      <w:proofErr w:type="spellEnd"/>
      <w:r w:rsidRPr="00BB636B">
        <w:t xml:space="preserve"> bien </w:t>
      </w:r>
      <w:proofErr w:type="spellStart"/>
      <w:r w:rsidRPr="00BB636B">
        <w:t>entretenu</w:t>
      </w:r>
      <w:proofErr w:type="spellEnd"/>
      <w:r w:rsidRPr="00BB636B">
        <w:t>.</w:t>
      </w:r>
    </w:p>
    <w:p w14:paraId="75797A77" w14:textId="0321E1CA" w:rsidR="00A22F95" w:rsidRPr="00390292" w:rsidRDefault="006F4948" w:rsidP="00A22F95">
      <w:pPr>
        <w:rPr>
          <w:rStyle w:val="EmphasisUseSparingly"/>
          <w:b w:val="0"/>
          <w:lang w:val="fr-CA"/>
        </w:rPr>
      </w:pPr>
      <w:r w:rsidRPr="006F4948">
        <w:rPr>
          <w:rStyle w:val="EmphasisUseSparingly"/>
          <w:lang w:val="fr-CA"/>
        </w:rPr>
        <w:t>Re</w:t>
      </w:r>
      <w:r>
        <w:rPr>
          <w:rStyle w:val="EmphasisUseSparingly"/>
          <w:lang w:val="fr-CA"/>
        </w:rPr>
        <w:t>marque</w:t>
      </w:r>
      <w:r w:rsidR="001C5600">
        <w:rPr>
          <w:rStyle w:val="EmphasisUseSparingly"/>
          <w:lang w:val="fr-CA"/>
        </w:rPr>
        <w:t> </w:t>
      </w:r>
      <w:r w:rsidR="00A22F95" w:rsidRPr="00390292">
        <w:rPr>
          <w:rStyle w:val="EmphasisUseSparingly"/>
          <w:lang w:val="fr-CA"/>
        </w:rPr>
        <w:t xml:space="preserve">: </w:t>
      </w:r>
      <w:r w:rsidR="00250E81" w:rsidRPr="00390292">
        <w:rPr>
          <w:lang w:val="fr-CA"/>
        </w:rPr>
        <w:t>Les panneaux doivent être faciles à lire et intuitifs pour l</w:t>
      </w:r>
      <w:r w:rsidR="009E20CA">
        <w:rPr>
          <w:lang w:val="fr-CA"/>
        </w:rPr>
        <w:t>’</w:t>
      </w:r>
      <w:r w:rsidR="00250E81" w:rsidRPr="00390292">
        <w:rPr>
          <w:lang w:val="fr-CA"/>
        </w:rPr>
        <w:t>utilisateur. L</w:t>
      </w:r>
      <w:r w:rsidR="009E20CA">
        <w:rPr>
          <w:lang w:val="fr-CA"/>
        </w:rPr>
        <w:t>’</w:t>
      </w:r>
      <w:r w:rsidR="00250E81" w:rsidRPr="00390292">
        <w:rPr>
          <w:lang w:val="fr-CA"/>
        </w:rPr>
        <w:t>utilisation d</w:t>
      </w:r>
      <w:r w:rsidR="009E20CA">
        <w:rPr>
          <w:lang w:val="fr-CA"/>
        </w:rPr>
        <w:t>’</w:t>
      </w:r>
      <w:r w:rsidR="00250E81" w:rsidRPr="00390292">
        <w:rPr>
          <w:lang w:val="fr-CA"/>
        </w:rPr>
        <w:t>un langage clair et de symboles graphiques reconnus est encouragée. Les deux normes suivantes fournissent des méthodes utiles pour évaluer la compréhension et la qualité perceptuelle</w:t>
      </w:r>
      <w:r w:rsidR="001C5600">
        <w:rPr>
          <w:lang w:val="fr-CA"/>
        </w:rPr>
        <w:t> </w:t>
      </w:r>
      <w:r w:rsidR="00250E81" w:rsidRPr="00390292">
        <w:rPr>
          <w:lang w:val="fr-CA"/>
        </w:rPr>
        <w:t>:</w:t>
      </w:r>
    </w:p>
    <w:p w14:paraId="0689A57E" w14:textId="2FFAA57F" w:rsidR="00A22F95" w:rsidRPr="00390292" w:rsidRDefault="00A22F95" w:rsidP="003F66F0">
      <w:pPr>
        <w:pStyle w:val="ListRef"/>
        <w:numPr>
          <w:ilvl w:val="0"/>
          <w:numId w:val="78"/>
        </w:numPr>
        <w:rPr>
          <w:lang w:val="fr-CA"/>
        </w:rPr>
      </w:pPr>
      <w:r w:rsidRPr="00390292">
        <w:rPr>
          <w:lang w:val="fr-CA"/>
        </w:rPr>
        <w:t>ISO 9186-1:2014 Symboles graphiques — Méthodes d</w:t>
      </w:r>
      <w:r w:rsidR="003405A1">
        <w:rPr>
          <w:lang w:val="fr-CA"/>
        </w:rPr>
        <w:t>’essai</w:t>
      </w:r>
      <w:r w:rsidRPr="00390292">
        <w:rPr>
          <w:lang w:val="fr-CA"/>
        </w:rPr>
        <w:t xml:space="preserve"> — Partie 1</w:t>
      </w:r>
      <w:r w:rsidR="001C5600">
        <w:rPr>
          <w:lang w:val="fr-CA"/>
        </w:rPr>
        <w:t> </w:t>
      </w:r>
      <w:r w:rsidRPr="00390292">
        <w:rPr>
          <w:lang w:val="fr-CA"/>
        </w:rPr>
        <w:t xml:space="preserve">: Méthode </w:t>
      </w:r>
      <w:r w:rsidR="003405A1">
        <w:rPr>
          <w:lang w:val="fr-CA"/>
        </w:rPr>
        <w:t xml:space="preserve">de vérification de la </w:t>
      </w:r>
      <w:r w:rsidRPr="00390292">
        <w:rPr>
          <w:lang w:val="fr-CA"/>
        </w:rPr>
        <w:t>compréhensibilité</w:t>
      </w:r>
      <w:r w:rsidR="008640B3">
        <w:rPr>
          <w:lang w:val="fr-CA"/>
        </w:rPr>
        <w:t>; et</w:t>
      </w:r>
    </w:p>
    <w:p w14:paraId="699E80C7" w14:textId="049783E8" w:rsidR="00A22F95" w:rsidRPr="00390292" w:rsidRDefault="00A22F95" w:rsidP="003F66F0">
      <w:pPr>
        <w:pStyle w:val="ListRef"/>
        <w:numPr>
          <w:ilvl w:val="0"/>
          <w:numId w:val="78"/>
        </w:numPr>
        <w:rPr>
          <w:lang w:val="fr-CA"/>
        </w:rPr>
      </w:pPr>
      <w:r w:rsidRPr="00390292">
        <w:rPr>
          <w:lang w:val="fr-CA"/>
        </w:rPr>
        <w:t>ISO 9186-2:2008(2024) - Symboles graphiques — Méthodes d</w:t>
      </w:r>
      <w:r w:rsidR="006829B2">
        <w:rPr>
          <w:lang w:val="fr-CA"/>
        </w:rPr>
        <w:t>’essai</w:t>
      </w:r>
      <w:r w:rsidRPr="00390292">
        <w:rPr>
          <w:lang w:val="fr-CA"/>
        </w:rPr>
        <w:t xml:space="preserve"> — Partie 2</w:t>
      </w:r>
      <w:r w:rsidR="001C5600">
        <w:rPr>
          <w:lang w:val="fr-CA"/>
        </w:rPr>
        <w:t> </w:t>
      </w:r>
      <w:r w:rsidRPr="00390292">
        <w:rPr>
          <w:lang w:val="fr-CA"/>
        </w:rPr>
        <w:t xml:space="preserve">: Méthode </w:t>
      </w:r>
      <w:r w:rsidR="006829B2">
        <w:rPr>
          <w:lang w:val="fr-CA"/>
        </w:rPr>
        <w:t xml:space="preserve">d’essai de </w:t>
      </w:r>
      <w:r w:rsidRPr="00390292">
        <w:rPr>
          <w:lang w:val="fr-CA"/>
        </w:rPr>
        <w:t xml:space="preserve">la qualité </w:t>
      </w:r>
      <w:r w:rsidR="006829B2" w:rsidRPr="00390292">
        <w:rPr>
          <w:lang w:val="fr-CA"/>
        </w:rPr>
        <w:t>per</w:t>
      </w:r>
      <w:r w:rsidR="006829B2">
        <w:rPr>
          <w:lang w:val="fr-CA"/>
        </w:rPr>
        <w:t>çue</w:t>
      </w:r>
    </w:p>
    <w:p w14:paraId="53F7FC39" w14:textId="13C18706" w:rsidR="00D15343" w:rsidRDefault="0005242D" w:rsidP="004A6CEE">
      <w:pPr>
        <w:pStyle w:val="Heading2"/>
      </w:pPr>
      <w:bookmarkStart w:id="607" w:name="_Different_types_of"/>
      <w:bookmarkStart w:id="608" w:name="_Toc219706212"/>
      <w:bookmarkEnd w:id="607"/>
      <w:r>
        <w:t>T</w:t>
      </w:r>
      <w:r w:rsidR="004A6CEE">
        <w:t>ypes de signalisation</w:t>
      </w:r>
      <w:bookmarkEnd w:id="608"/>
    </w:p>
    <w:p w14:paraId="4EE3D567" w14:textId="38A8228C" w:rsidR="004A6CEE" w:rsidRPr="0005242D" w:rsidRDefault="004A6CEE" w:rsidP="004A6CEE">
      <w:pPr>
        <w:rPr>
          <w:lang w:val="fr-CA"/>
        </w:rPr>
      </w:pPr>
      <w:r w:rsidRPr="0005242D">
        <w:rPr>
          <w:lang w:val="fr-CA"/>
        </w:rPr>
        <w:t>Les panneaux sont utilisés dans une grande variété d</w:t>
      </w:r>
      <w:r w:rsidR="009E20CA">
        <w:rPr>
          <w:lang w:val="fr-CA"/>
        </w:rPr>
        <w:t>’</w:t>
      </w:r>
      <w:r w:rsidRPr="0005242D">
        <w:rPr>
          <w:lang w:val="fr-CA"/>
        </w:rPr>
        <w:t>environnements intérieurs et extérieurs.</w:t>
      </w:r>
    </w:p>
    <w:p w14:paraId="324A127D" w14:textId="4D81C12B" w:rsidR="007A7302" w:rsidRPr="0005242D" w:rsidRDefault="007A7302" w:rsidP="007A7302">
      <w:pPr>
        <w:rPr>
          <w:rStyle w:val="EmphasisUseSparingly"/>
          <w:lang w:val="fr-CA"/>
        </w:rPr>
      </w:pPr>
      <w:r w:rsidRPr="0005242D">
        <w:rPr>
          <w:lang w:val="fr-CA"/>
        </w:rPr>
        <w:t>Les catégories ci-dessous décrivent différents types de signalisation et leurs exigences d</w:t>
      </w:r>
      <w:r w:rsidR="009E20CA">
        <w:rPr>
          <w:lang w:val="fr-CA"/>
        </w:rPr>
        <w:t>’</w:t>
      </w:r>
      <w:r w:rsidRPr="0005242D">
        <w:rPr>
          <w:lang w:val="fr-CA"/>
        </w:rPr>
        <w:t>accessibilité associés afin de soutenir la navigation indépendante, l</w:t>
      </w:r>
      <w:r w:rsidR="009E20CA">
        <w:rPr>
          <w:lang w:val="fr-CA"/>
        </w:rPr>
        <w:t>’</w:t>
      </w:r>
      <w:r w:rsidRPr="0005242D">
        <w:rPr>
          <w:lang w:val="fr-CA"/>
        </w:rPr>
        <w:t>orientation, l</w:t>
      </w:r>
      <w:r w:rsidR="009E20CA">
        <w:rPr>
          <w:lang w:val="fr-CA"/>
        </w:rPr>
        <w:t>’</w:t>
      </w:r>
      <w:r w:rsidRPr="0005242D">
        <w:rPr>
          <w:lang w:val="fr-CA"/>
        </w:rPr>
        <w:t>accès à l</w:t>
      </w:r>
      <w:r w:rsidR="009E20CA">
        <w:rPr>
          <w:lang w:val="fr-CA"/>
        </w:rPr>
        <w:t>’</w:t>
      </w:r>
      <w:r w:rsidRPr="0005242D">
        <w:rPr>
          <w:lang w:val="fr-CA"/>
        </w:rPr>
        <w:t>information et la sécurité pour tous les utilisateurs, y compris les personnes en situation de handicap.</w:t>
      </w:r>
    </w:p>
    <w:p w14:paraId="11166288" w14:textId="6FFAB362" w:rsidR="00051101" w:rsidRDefault="00051101" w:rsidP="00051101">
      <w:pPr>
        <w:pStyle w:val="ListRef"/>
      </w:pPr>
      <w:r>
        <w:t xml:space="preserve">Les </w:t>
      </w:r>
      <w:proofErr w:type="spellStart"/>
      <w:r w:rsidR="00102381">
        <w:t>panneaux</w:t>
      </w:r>
      <w:proofErr w:type="spellEnd"/>
      <w:r>
        <w:t xml:space="preserve"> </w:t>
      </w:r>
      <w:proofErr w:type="spellStart"/>
      <w:proofErr w:type="gramStart"/>
      <w:r>
        <w:t>doivent</w:t>
      </w:r>
      <w:proofErr w:type="spellEnd"/>
      <w:r w:rsidR="001C5600">
        <w:t> </w:t>
      </w:r>
      <w:r>
        <w:t>:</w:t>
      </w:r>
      <w:proofErr w:type="gramEnd"/>
    </w:p>
    <w:p w14:paraId="450CF566" w14:textId="00B3F05E" w:rsidR="00872ECB" w:rsidRDefault="00BE131A" w:rsidP="003F66F0">
      <w:pPr>
        <w:pStyle w:val="ListRef"/>
        <w:numPr>
          <w:ilvl w:val="0"/>
          <w:numId w:val="42"/>
        </w:numPr>
        <w:rPr>
          <w:lang w:val="fr-CA"/>
        </w:rPr>
      </w:pPr>
      <w:r>
        <w:rPr>
          <w:lang w:val="fr-CA"/>
        </w:rPr>
        <w:t>être</w:t>
      </w:r>
      <w:r w:rsidR="00872ECB">
        <w:rPr>
          <w:lang w:val="fr-CA"/>
        </w:rPr>
        <w:t xml:space="preserve"> dans un format accessible pour les types de signalisation identifi</w:t>
      </w:r>
      <w:r w:rsidR="00FE7AA3">
        <w:rPr>
          <w:lang w:val="fr-CA"/>
        </w:rPr>
        <w:t>é</w:t>
      </w:r>
      <w:r w:rsidR="00872ECB">
        <w:rPr>
          <w:lang w:val="fr-CA"/>
        </w:rPr>
        <w:t xml:space="preserve">s aux articles </w:t>
      </w:r>
      <w:r>
        <w:fldChar w:fldCharType="begin"/>
      </w:r>
      <w:r w:rsidRPr="007C0FBA">
        <w:rPr>
          <w:lang w:val="fr-CA"/>
        </w:rPr>
        <w:instrText>HYPERLINK \l "_Panneaux_d’orientation"</w:instrText>
      </w:r>
      <w:r>
        <w:fldChar w:fldCharType="separate"/>
      </w:r>
      <w:r w:rsidRPr="00C53DC3">
        <w:rPr>
          <w:rStyle w:val="Hyperlink"/>
          <w:lang w:val="fr-CA"/>
        </w:rPr>
        <w:t>12.2.1</w:t>
      </w:r>
      <w:r>
        <w:fldChar w:fldCharType="end"/>
      </w:r>
      <w:r>
        <w:rPr>
          <w:lang w:val="fr-CA"/>
        </w:rPr>
        <w:t xml:space="preserve">, </w:t>
      </w:r>
      <w:r>
        <w:fldChar w:fldCharType="begin"/>
      </w:r>
      <w:r w:rsidRPr="007C0FBA">
        <w:rPr>
          <w:lang w:val="fr-CA"/>
        </w:rPr>
        <w:instrText>HYPERLINK \l "_Panneaux_d’identification"</w:instrText>
      </w:r>
      <w:r>
        <w:fldChar w:fldCharType="separate"/>
      </w:r>
      <w:r w:rsidRPr="00584A5D">
        <w:rPr>
          <w:rStyle w:val="Hyperlink"/>
          <w:lang w:val="fr-CA"/>
        </w:rPr>
        <w:t>12.2.2</w:t>
      </w:r>
      <w:r>
        <w:fldChar w:fldCharType="end"/>
      </w:r>
      <w:r>
        <w:rPr>
          <w:lang w:val="fr-CA"/>
        </w:rPr>
        <w:t xml:space="preserve">, </w:t>
      </w:r>
      <w:r>
        <w:fldChar w:fldCharType="begin"/>
      </w:r>
      <w:r w:rsidRPr="007C0FBA">
        <w:rPr>
          <w:lang w:val="fr-CA"/>
        </w:rPr>
        <w:instrText>HYPERLINK \l "_Panneaux_règlementaires"</w:instrText>
      </w:r>
      <w:r>
        <w:fldChar w:fldCharType="separate"/>
      </w:r>
      <w:r w:rsidRPr="006772CE">
        <w:rPr>
          <w:rStyle w:val="Hyperlink"/>
          <w:lang w:val="fr-CA"/>
        </w:rPr>
        <w:t>12.2.3</w:t>
      </w:r>
      <w:r>
        <w:fldChar w:fldCharType="end"/>
      </w:r>
      <w:r>
        <w:rPr>
          <w:lang w:val="fr-CA"/>
        </w:rPr>
        <w:t xml:space="preserve">, </w:t>
      </w:r>
      <w:r>
        <w:fldChar w:fldCharType="begin"/>
      </w:r>
      <w:r w:rsidRPr="007C0FBA">
        <w:rPr>
          <w:lang w:val="fr-CA"/>
        </w:rPr>
        <w:instrText>HYPERLINK \l "_Panneaux_d’avertissement"</w:instrText>
      </w:r>
      <w:r>
        <w:fldChar w:fldCharType="separate"/>
      </w:r>
      <w:r w:rsidRPr="000D58FA">
        <w:rPr>
          <w:rStyle w:val="Hyperlink"/>
          <w:lang w:val="fr-CA"/>
        </w:rPr>
        <w:t>12.2.4</w:t>
      </w:r>
      <w:r>
        <w:fldChar w:fldCharType="end"/>
      </w:r>
      <w:r>
        <w:rPr>
          <w:lang w:val="fr-CA"/>
        </w:rPr>
        <w:t xml:space="preserve">, </w:t>
      </w:r>
      <w:r>
        <w:fldChar w:fldCharType="begin"/>
      </w:r>
      <w:r w:rsidRPr="007C0FBA">
        <w:rPr>
          <w:lang w:val="fr-CA"/>
        </w:rPr>
        <w:instrText>HYPERLINK \l "_Panneaux_d’information"</w:instrText>
      </w:r>
      <w:r>
        <w:fldChar w:fldCharType="separate"/>
      </w:r>
      <w:r w:rsidRPr="000C0E2B">
        <w:rPr>
          <w:rStyle w:val="Hyperlink"/>
          <w:lang w:val="fr-CA"/>
        </w:rPr>
        <w:t>12.2.5</w:t>
      </w:r>
      <w:r>
        <w:fldChar w:fldCharType="end"/>
      </w:r>
      <w:r>
        <w:rPr>
          <w:lang w:val="fr-CA"/>
        </w:rPr>
        <w:t xml:space="preserve">, </w:t>
      </w:r>
      <w:r>
        <w:fldChar w:fldCharType="begin"/>
      </w:r>
      <w:r w:rsidRPr="007C0FBA">
        <w:rPr>
          <w:lang w:val="fr-CA"/>
        </w:rPr>
        <w:instrText>HYPERLINK \l "_Panneaux_temporaires"</w:instrText>
      </w:r>
      <w:r>
        <w:fldChar w:fldCharType="separate"/>
      </w:r>
      <w:r w:rsidRPr="00216D30">
        <w:rPr>
          <w:rStyle w:val="Hyperlink"/>
          <w:lang w:val="fr-CA"/>
        </w:rPr>
        <w:t>12.2.6</w:t>
      </w:r>
      <w:r>
        <w:fldChar w:fldCharType="end"/>
      </w:r>
      <w:r>
        <w:rPr>
          <w:lang w:val="fr-CA"/>
        </w:rPr>
        <w:t xml:space="preserve">, et </w:t>
      </w:r>
      <w:r>
        <w:fldChar w:fldCharType="begin"/>
      </w:r>
      <w:r w:rsidRPr="007C0FBA">
        <w:rPr>
          <w:lang w:val="fr-CA"/>
        </w:rPr>
        <w:instrText>HYPERLINK \l "_Panneaux_de_stationnement"</w:instrText>
      </w:r>
      <w:r>
        <w:fldChar w:fldCharType="separate"/>
      </w:r>
      <w:r w:rsidRPr="006F0499">
        <w:rPr>
          <w:rStyle w:val="Hyperlink"/>
          <w:lang w:val="fr-CA"/>
        </w:rPr>
        <w:t>12.2.7</w:t>
      </w:r>
      <w:r>
        <w:fldChar w:fldCharType="end"/>
      </w:r>
      <w:r>
        <w:rPr>
          <w:lang w:val="fr-CA"/>
        </w:rPr>
        <w:t>.</w:t>
      </w:r>
    </w:p>
    <w:p w14:paraId="06874FF5" w14:textId="0B7AD08F" w:rsidR="00091D57" w:rsidRDefault="002143D7" w:rsidP="00091D57">
      <w:pPr>
        <w:pStyle w:val="Heading3"/>
        <w:rPr>
          <w:lang w:val="fr-CA"/>
        </w:rPr>
      </w:pPr>
      <w:bookmarkStart w:id="609" w:name="_Panneaux_d’orientation"/>
      <w:bookmarkStart w:id="610" w:name="_Toc219706213"/>
      <w:bookmarkEnd w:id="609"/>
      <w:r>
        <w:rPr>
          <w:lang w:val="fr-CA"/>
        </w:rPr>
        <w:lastRenderedPageBreak/>
        <w:t>Panneaux</w:t>
      </w:r>
      <w:r w:rsidR="0070401E">
        <w:rPr>
          <w:lang w:val="fr-CA"/>
        </w:rPr>
        <w:t xml:space="preserve"> d’orientation</w:t>
      </w:r>
      <w:bookmarkEnd w:id="610"/>
    </w:p>
    <w:p w14:paraId="35D300D2" w14:textId="562A863D" w:rsidR="003D5364" w:rsidRDefault="003D5364" w:rsidP="003D5364">
      <w:pPr>
        <w:rPr>
          <w:lang w:val="fr-CA"/>
        </w:rPr>
      </w:pPr>
      <w:r>
        <w:rPr>
          <w:lang w:val="fr-CA"/>
        </w:rPr>
        <w:t xml:space="preserve">Les panneaux d’orientation aident les personnes </w:t>
      </w:r>
      <w:r w:rsidR="0023750A">
        <w:rPr>
          <w:lang w:val="fr-CA"/>
        </w:rPr>
        <w:t>à</w:t>
      </w:r>
      <w:r>
        <w:rPr>
          <w:lang w:val="fr-CA"/>
        </w:rPr>
        <w:t xml:space="preserve"> se déplacer dans l’installation</w:t>
      </w:r>
      <w:r w:rsidR="0023750A">
        <w:rPr>
          <w:lang w:val="fr-CA"/>
        </w:rPr>
        <w:t xml:space="preserve"> ou l’environnement o</w:t>
      </w:r>
      <w:r w:rsidR="00AF783E">
        <w:rPr>
          <w:rFonts w:cs="Arial"/>
          <w:lang w:val="fr-CA"/>
        </w:rPr>
        <w:t>ù</w:t>
      </w:r>
      <w:r w:rsidR="0023750A">
        <w:rPr>
          <w:lang w:val="fr-CA"/>
        </w:rPr>
        <w:t xml:space="preserve"> ils se trouvent.</w:t>
      </w:r>
    </w:p>
    <w:p w14:paraId="5A8C2DCE" w14:textId="1147FAE7" w:rsidR="003911A2" w:rsidRDefault="003911A2" w:rsidP="003D5364">
      <w:pPr>
        <w:rPr>
          <w:lang w:val="fr-CA"/>
        </w:rPr>
      </w:pPr>
      <w:r w:rsidRPr="003911A2">
        <w:rPr>
          <w:b/>
          <w:bCs/>
          <w:lang w:val="fr-CA"/>
        </w:rPr>
        <w:t>Remarque 1</w:t>
      </w:r>
      <w:r>
        <w:rPr>
          <w:lang w:val="fr-CA"/>
        </w:rPr>
        <w:t xml:space="preserve"> : Des </w:t>
      </w:r>
      <w:r w:rsidR="0051695D">
        <w:rPr>
          <w:lang w:val="fr-CA"/>
        </w:rPr>
        <w:t>exemples</w:t>
      </w:r>
      <w:r>
        <w:rPr>
          <w:lang w:val="fr-CA"/>
        </w:rPr>
        <w:t xml:space="preserve"> de panneaux d’orientation incluent des cartes, c</w:t>
      </w:r>
      <w:r w:rsidR="00006B86">
        <w:rPr>
          <w:lang w:val="fr-CA"/>
        </w:rPr>
        <w:t xml:space="preserve">roquis, maquettes et panneaux directionnels pour </w:t>
      </w:r>
      <w:r w:rsidR="0045228F">
        <w:rPr>
          <w:lang w:val="fr-CA"/>
        </w:rPr>
        <w:t>les ascenseurs</w:t>
      </w:r>
      <w:r w:rsidR="00006B86">
        <w:rPr>
          <w:lang w:val="fr-CA"/>
        </w:rPr>
        <w:t xml:space="preserve"> et salles de bain.</w:t>
      </w:r>
    </w:p>
    <w:p w14:paraId="4E90FDFB" w14:textId="5F0B562C" w:rsidR="0051695D" w:rsidRPr="003D5364" w:rsidRDefault="0051695D" w:rsidP="003D5364">
      <w:pPr>
        <w:rPr>
          <w:lang w:val="fr-CA"/>
        </w:rPr>
      </w:pPr>
      <w:r w:rsidRPr="00180AE0">
        <w:rPr>
          <w:b/>
          <w:bCs/>
          <w:lang w:val="fr-CA"/>
        </w:rPr>
        <w:t>Remarque 2</w:t>
      </w:r>
      <w:r>
        <w:rPr>
          <w:lang w:val="fr-CA"/>
        </w:rPr>
        <w:t xml:space="preserve"> : </w:t>
      </w:r>
      <w:r w:rsidR="00E55BEB">
        <w:rPr>
          <w:lang w:val="fr-CA"/>
        </w:rPr>
        <w:t>Des e</w:t>
      </w:r>
      <w:r w:rsidR="00180AE0" w:rsidRPr="00180AE0">
        <w:rPr>
          <w:lang w:val="fr-CA"/>
        </w:rPr>
        <w:t>xemples spécifiques aux environnements extérieurs</w:t>
      </w:r>
      <w:r w:rsidR="001C5600">
        <w:rPr>
          <w:lang w:val="fr-CA"/>
        </w:rPr>
        <w:t> </w:t>
      </w:r>
      <w:r w:rsidR="00180AE0" w:rsidRPr="00180AE0">
        <w:rPr>
          <w:lang w:val="fr-CA"/>
        </w:rPr>
        <w:t xml:space="preserve">: panneaux d’orientation des points de départ de sentiers, </w:t>
      </w:r>
      <w:r w:rsidR="00F456E2">
        <w:rPr>
          <w:lang w:val="fr-CA"/>
        </w:rPr>
        <w:t>répertoires</w:t>
      </w:r>
      <w:r w:rsidR="00180AE0" w:rsidRPr="00180AE0">
        <w:rPr>
          <w:lang w:val="fr-CA"/>
        </w:rPr>
        <w:t xml:space="preserve"> d’entrée des parcs, et cartes «</w:t>
      </w:r>
      <w:r w:rsidR="00A92827">
        <w:rPr>
          <w:lang w:val="fr-CA"/>
        </w:rPr>
        <w:t> </w:t>
      </w:r>
      <w:r w:rsidR="00180AE0" w:rsidRPr="00180AE0">
        <w:rPr>
          <w:lang w:val="fr-CA"/>
        </w:rPr>
        <w:t>vous êtes ici</w:t>
      </w:r>
      <w:r w:rsidR="00A92827">
        <w:rPr>
          <w:lang w:val="fr-CA"/>
        </w:rPr>
        <w:t> </w:t>
      </w:r>
      <w:r w:rsidR="00180AE0" w:rsidRPr="00180AE0">
        <w:rPr>
          <w:lang w:val="fr-CA"/>
        </w:rPr>
        <w:t xml:space="preserve">» situées aux intersections de sentiers ou aux grands sites ouverts. Des </w:t>
      </w:r>
      <w:r w:rsidR="00F456E2">
        <w:rPr>
          <w:lang w:val="fr-CA"/>
        </w:rPr>
        <w:t>panneaux</w:t>
      </w:r>
      <w:r w:rsidR="00180AE0" w:rsidRPr="00180AE0">
        <w:rPr>
          <w:lang w:val="fr-CA"/>
        </w:rPr>
        <w:t xml:space="preserve"> directionnels qui transmettent des indications directionnelles d’un endroit à un autre, incorporant conventionnellement des symboles de flèches pour </w:t>
      </w:r>
      <w:r w:rsidR="00C53DC3">
        <w:rPr>
          <w:lang w:val="fr-CA"/>
        </w:rPr>
        <w:t>atteindre</w:t>
      </w:r>
      <w:r w:rsidR="00180AE0" w:rsidRPr="00180AE0">
        <w:rPr>
          <w:lang w:val="fr-CA"/>
        </w:rPr>
        <w:t xml:space="preserve"> leur fonction.</w:t>
      </w:r>
    </w:p>
    <w:p w14:paraId="7A0C4D7E" w14:textId="63922DC2" w:rsidR="000D0830" w:rsidRDefault="000D0830" w:rsidP="000D0830">
      <w:pPr>
        <w:pStyle w:val="Heading3"/>
        <w:rPr>
          <w:lang w:val="fr-CA"/>
        </w:rPr>
      </w:pPr>
      <w:bookmarkStart w:id="611" w:name="_Panneaux_d’identification"/>
      <w:bookmarkStart w:id="612" w:name="_Hlk213767760"/>
      <w:bookmarkStart w:id="613" w:name="_Toc219706214"/>
      <w:bookmarkEnd w:id="611"/>
      <w:r>
        <w:rPr>
          <w:lang w:val="fr-CA"/>
        </w:rPr>
        <w:t>Panneaux d’</w:t>
      </w:r>
      <w:r w:rsidR="0082628C">
        <w:rPr>
          <w:lang w:val="fr-CA"/>
        </w:rPr>
        <w:t>identification</w:t>
      </w:r>
      <w:bookmarkEnd w:id="612"/>
      <w:bookmarkEnd w:id="613"/>
    </w:p>
    <w:p w14:paraId="2A5A3E88" w14:textId="0FCD4CF1" w:rsidR="0082628C" w:rsidRDefault="0082628C" w:rsidP="0082628C">
      <w:pPr>
        <w:rPr>
          <w:lang w:val="fr-CA"/>
        </w:rPr>
      </w:pPr>
      <w:r>
        <w:rPr>
          <w:lang w:val="fr-CA"/>
        </w:rPr>
        <w:t>Les panneaux d’identification fournissent une orientation générale ou des informations spécifiques.</w:t>
      </w:r>
    </w:p>
    <w:p w14:paraId="54692F6E" w14:textId="3301DD7A" w:rsidR="006A2EC9" w:rsidRPr="006A2EC9" w:rsidRDefault="006A2EC9" w:rsidP="006A2EC9">
      <w:pPr>
        <w:rPr>
          <w:lang w:val="fr-CA"/>
        </w:rPr>
      </w:pPr>
      <w:r w:rsidRPr="006A2EC9">
        <w:rPr>
          <w:b/>
          <w:bCs/>
          <w:lang w:val="fr-CA"/>
        </w:rPr>
        <w:t>Remarque 1</w:t>
      </w:r>
      <w:r w:rsidR="001C5600">
        <w:rPr>
          <w:lang w:val="fr-CA"/>
        </w:rPr>
        <w:t> </w:t>
      </w:r>
      <w:r w:rsidRPr="006A2EC9">
        <w:rPr>
          <w:lang w:val="fr-CA"/>
        </w:rPr>
        <w:t>: Des exemples de panneaux d’identification incluent les panneaux pour les bâtiments, les salles de bain, les sorties, les cages d’escalier, les portes</w:t>
      </w:r>
      <w:r w:rsidR="00FC7613">
        <w:rPr>
          <w:lang w:val="fr-CA"/>
        </w:rPr>
        <w:t xml:space="preserve"> d</w:t>
      </w:r>
      <w:r w:rsidR="004560DC">
        <w:rPr>
          <w:lang w:val="fr-CA"/>
        </w:rPr>
        <w:t>’entrée</w:t>
      </w:r>
      <w:r w:rsidRPr="006A2EC9">
        <w:rPr>
          <w:lang w:val="fr-CA"/>
        </w:rPr>
        <w:t xml:space="preserve"> ou les bureaux.</w:t>
      </w:r>
    </w:p>
    <w:p w14:paraId="38FCDA57" w14:textId="50B8A449" w:rsidR="00D10CE5" w:rsidRDefault="004560DC" w:rsidP="006A2EC9">
      <w:pPr>
        <w:rPr>
          <w:lang w:val="fr-CA"/>
        </w:rPr>
      </w:pPr>
      <w:r w:rsidRPr="004560DC">
        <w:rPr>
          <w:b/>
          <w:bCs/>
          <w:lang w:val="fr-CA"/>
        </w:rPr>
        <w:t>Remarque</w:t>
      </w:r>
      <w:r w:rsidR="006A2EC9" w:rsidRPr="004560DC">
        <w:rPr>
          <w:b/>
          <w:bCs/>
          <w:lang w:val="fr-CA"/>
        </w:rPr>
        <w:t xml:space="preserve"> 2</w:t>
      </w:r>
      <w:r w:rsidR="001C5600">
        <w:rPr>
          <w:lang w:val="fr-CA"/>
        </w:rPr>
        <w:t> </w:t>
      </w:r>
      <w:r w:rsidR="006A2EC9" w:rsidRPr="006A2EC9">
        <w:rPr>
          <w:lang w:val="fr-CA"/>
        </w:rPr>
        <w:t xml:space="preserve">: </w:t>
      </w:r>
      <w:r>
        <w:rPr>
          <w:lang w:val="fr-CA"/>
        </w:rPr>
        <w:t>Des e</w:t>
      </w:r>
      <w:r w:rsidR="006A2EC9" w:rsidRPr="006A2EC9">
        <w:rPr>
          <w:lang w:val="fr-CA"/>
        </w:rPr>
        <w:t>xemples spécifiques aux environnements extérieurs</w:t>
      </w:r>
      <w:r w:rsidR="001C5600">
        <w:rPr>
          <w:lang w:val="fr-CA"/>
        </w:rPr>
        <w:t> </w:t>
      </w:r>
      <w:r w:rsidR="006A2EC9" w:rsidRPr="006A2EC9">
        <w:rPr>
          <w:lang w:val="fr-CA"/>
        </w:rPr>
        <w:t>: panneaux de numéro d</w:t>
      </w:r>
      <w:r w:rsidR="00652F93">
        <w:rPr>
          <w:lang w:val="fr-CA"/>
        </w:rPr>
        <w:t>u terrain de</w:t>
      </w:r>
      <w:r w:rsidR="006A2EC9" w:rsidRPr="006A2EC9">
        <w:rPr>
          <w:lang w:val="fr-CA"/>
        </w:rPr>
        <w:t xml:space="preserve"> camping, identifiants de chalet ou de yourte, panneaux </w:t>
      </w:r>
      <w:r w:rsidR="00F940DF">
        <w:rPr>
          <w:lang w:val="fr-CA"/>
        </w:rPr>
        <w:t>i</w:t>
      </w:r>
      <w:r w:rsidR="005C0C42">
        <w:rPr>
          <w:lang w:val="fr-CA"/>
        </w:rPr>
        <w:t>dentifiants</w:t>
      </w:r>
      <w:r w:rsidR="006A2EC9" w:rsidRPr="006A2EC9">
        <w:rPr>
          <w:lang w:val="fr-CA"/>
        </w:rPr>
        <w:t xml:space="preserve"> l</w:t>
      </w:r>
      <w:r w:rsidR="00440C73">
        <w:rPr>
          <w:lang w:val="fr-CA"/>
        </w:rPr>
        <w:t>es</w:t>
      </w:r>
      <w:r w:rsidR="006A2EC9" w:rsidRPr="006A2EC9">
        <w:rPr>
          <w:lang w:val="fr-CA"/>
        </w:rPr>
        <w:t xml:space="preserve"> plage</w:t>
      </w:r>
      <w:r w:rsidR="00FE7AA3">
        <w:rPr>
          <w:lang w:val="fr-CA"/>
        </w:rPr>
        <w:t>s</w:t>
      </w:r>
      <w:r w:rsidR="006A2EC9" w:rsidRPr="006A2EC9">
        <w:rPr>
          <w:lang w:val="fr-CA"/>
        </w:rPr>
        <w:t xml:space="preserve"> ou les abris de pique-nique</w:t>
      </w:r>
      <w:r w:rsidR="00440C73">
        <w:rPr>
          <w:lang w:val="fr-CA"/>
        </w:rPr>
        <w:t xml:space="preserve"> </w:t>
      </w:r>
      <w:r w:rsidR="00FF4C16">
        <w:rPr>
          <w:lang w:val="fr-CA"/>
        </w:rPr>
        <w:t>accessibles</w:t>
      </w:r>
      <w:r w:rsidR="006A2EC9" w:rsidRPr="006A2EC9">
        <w:rPr>
          <w:lang w:val="fr-CA"/>
        </w:rPr>
        <w:t>.</w:t>
      </w:r>
    </w:p>
    <w:p w14:paraId="79023F11" w14:textId="712CA2F0" w:rsidR="00546B32" w:rsidRDefault="00D10CE5" w:rsidP="00D10CE5">
      <w:pPr>
        <w:keepLines w:val="0"/>
        <w:spacing w:before="0" w:beforeAutospacing="0" w:line="259" w:lineRule="auto"/>
        <w:rPr>
          <w:lang w:val="fr-CA"/>
        </w:rPr>
      </w:pPr>
      <w:r>
        <w:rPr>
          <w:lang w:val="fr-CA"/>
        </w:rPr>
        <w:br w:type="page"/>
      </w:r>
    </w:p>
    <w:p w14:paraId="0568AF05" w14:textId="4173D9E9" w:rsidR="000A4A24" w:rsidRDefault="000A4A24" w:rsidP="000A4A24">
      <w:pPr>
        <w:pStyle w:val="Heading3"/>
        <w:rPr>
          <w:lang w:val="fr-CA"/>
        </w:rPr>
      </w:pPr>
      <w:bookmarkStart w:id="614" w:name="_Panneaux_règlementaires"/>
      <w:bookmarkStart w:id="615" w:name="_Toc219706215"/>
      <w:bookmarkEnd w:id="614"/>
      <w:r>
        <w:rPr>
          <w:lang w:val="fr-CA"/>
        </w:rPr>
        <w:lastRenderedPageBreak/>
        <w:t xml:space="preserve">Panneaux </w:t>
      </w:r>
      <w:r w:rsidR="004B3096">
        <w:rPr>
          <w:lang w:val="fr-CA"/>
        </w:rPr>
        <w:t>r</w:t>
      </w:r>
      <w:r w:rsidR="00CD03BC">
        <w:rPr>
          <w:rFonts w:cs="Arial"/>
          <w:lang w:val="fr-CA"/>
        </w:rPr>
        <w:t>é</w:t>
      </w:r>
      <w:r w:rsidR="004B3096">
        <w:rPr>
          <w:lang w:val="fr-CA"/>
        </w:rPr>
        <w:t>glementaires</w:t>
      </w:r>
      <w:bookmarkEnd w:id="615"/>
    </w:p>
    <w:p w14:paraId="4FFBEF23" w14:textId="662C17DF" w:rsidR="00622CDF" w:rsidRPr="00622CDF" w:rsidRDefault="00622CDF" w:rsidP="00D10CE5">
      <w:pPr>
        <w:rPr>
          <w:lang w:val="fr-CA"/>
        </w:rPr>
      </w:pPr>
      <w:r w:rsidRPr="00622CDF">
        <w:rPr>
          <w:lang w:val="fr-CA"/>
        </w:rPr>
        <w:t>Des panneaux réglementaires qui indiquent des actions interdites (panneaux d’interdiction) ou une action obligatoire (</w:t>
      </w:r>
      <w:r w:rsidR="00097105">
        <w:rPr>
          <w:lang w:val="fr-CA"/>
        </w:rPr>
        <w:t>panneaux</w:t>
      </w:r>
      <w:r w:rsidRPr="00622CDF">
        <w:rPr>
          <w:lang w:val="fr-CA"/>
        </w:rPr>
        <w:t xml:space="preserve"> </w:t>
      </w:r>
      <w:r w:rsidR="0032732A">
        <w:rPr>
          <w:lang w:val="fr-CA"/>
        </w:rPr>
        <w:t>d’</w:t>
      </w:r>
      <w:r w:rsidRPr="00622CDF">
        <w:rPr>
          <w:lang w:val="fr-CA"/>
        </w:rPr>
        <w:t>obligat</w:t>
      </w:r>
      <w:r w:rsidR="0032732A">
        <w:rPr>
          <w:lang w:val="fr-CA"/>
        </w:rPr>
        <w:t>ion</w:t>
      </w:r>
      <w:r w:rsidRPr="00622CDF">
        <w:rPr>
          <w:lang w:val="fr-CA"/>
        </w:rPr>
        <w:t>).</w:t>
      </w:r>
    </w:p>
    <w:p w14:paraId="4A351187" w14:textId="5F4C6F05" w:rsidR="000B35F7" w:rsidRDefault="0032732A" w:rsidP="00D10CE5">
      <w:pPr>
        <w:rPr>
          <w:lang w:val="fr-CA"/>
        </w:rPr>
      </w:pPr>
      <w:r w:rsidRPr="0032732A">
        <w:rPr>
          <w:b/>
          <w:bCs/>
          <w:lang w:val="fr-CA"/>
        </w:rPr>
        <w:t>Remarque 1</w:t>
      </w:r>
      <w:r w:rsidR="001C5600">
        <w:rPr>
          <w:lang w:val="fr-CA"/>
        </w:rPr>
        <w:t> </w:t>
      </w:r>
      <w:r w:rsidR="00622CDF" w:rsidRPr="00622CDF">
        <w:rPr>
          <w:lang w:val="fr-CA"/>
        </w:rPr>
        <w:t xml:space="preserve">: Des exemples de panneaux d’interdiction incluent </w:t>
      </w:r>
      <w:r w:rsidR="00A303C5">
        <w:rPr>
          <w:lang w:val="fr-CA"/>
        </w:rPr>
        <w:t>les</w:t>
      </w:r>
      <w:r w:rsidR="00622CDF" w:rsidRPr="00622CDF">
        <w:rPr>
          <w:lang w:val="fr-CA"/>
        </w:rPr>
        <w:t xml:space="preserve"> panneau</w:t>
      </w:r>
      <w:r w:rsidR="00A303C5">
        <w:rPr>
          <w:lang w:val="fr-CA"/>
        </w:rPr>
        <w:t>x</w:t>
      </w:r>
      <w:r w:rsidR="00BA2C7B">
        <w:rPr>
          <w:lang w:val="fr-CA"/>
        </w:rPr>
        <w:t xml:space="preserve"> </w:t>
      </w:r>
      <w:r w:rsidR="005C56B9" w:rsidRPr="00EA0E02">
        <w:rPr>
          <w:lang w:val="fr-CA"/>
        </w:rPr>
        <w:t>«</w:t>
      </w:r>
      <w:r w:rsidR="00A92827">
        <w:rPr>
          <w:lang w:val="fr-CA"/>
        </w:rPr>
        <w:t> </w:t>
      </w:r>
      <w:r w:rsidR="00012258" w:rsidRPr="00EA0E02">
        <w:rPr>
          <w:lang w:val="fr-CA"/>
        </w:rPr>
        <w:t xml:space="preserve">l’accès est </w:t>
      </w:r>
      <w:r w:rsidR="00622CDF" w:rsidRPr="00EA0E02">
        <w:rPr>
          <w:lang w:val="fr-CA"/>
        </w:rPr>
        <w:t>interdit</w:t>
      </w:r>
      <w:r w:rsidR="00A92827">
        <w:rPr>
          <w:lang w:val="fr-CA"/>
        </w:rPr>
        <w:t> </w:t>
      </w:r>
      <w:r w:rsidR="005C56B9" w:rsidRPr="00EA0E02">
        <w:rPr>
          <w:lang w:val="fr-CA"/>
        </w:rPr>
        <w:t>»</w:t>
      </w:r>
      <w:r w:rsidR="00622CDF" w:rsidRPr="00EA0E02">
        <w:rPr>
          <w:lang w:val="fr-CA"/>
        </w:rPr>
        <w:t xml:space="preserve">, </w:t>
      </w:r>
      <w:r w:rsidR="005C56B9" w:rsidRPr="00EA0E02">
        <w:rPr>
          <w:lang w:val="fr-CA"/>
        </w:rPr>
        <w:t>«</w:t>
      </w:r>
      <w:r w:rsidR="00A92827">
        <w:rPr>
          <w:lang w:val="fr-CA"/>
        </w:rPr>
        <w:t> </w:t>
      </w:r>
      <w:r w:rsidR="00EF5E82" w:rsidRPr="00EA0E02">
        <w:rPr>
          <w:lang w:val="fr-CA"/>
        </w:rPr>
        <w:t>arrêt</w:t>
      </w:r>
      <w:r w:rsidR="00BA2C7B" w:rsidRPr="00EA0E02">
        <w:rPr>
          <w:lang w:val="fr-CA"/>
        </w:rPr>
        <w:t xml:space="preserve"> interdit</w:t>
      </w:r>
      <w:r w:rsidR="00A92827">
        <w:rPr>
          <w:lang w:val="fr-CA"/>
        </w:rPr>
        <w:t> </w:t>
      </w:r>
      <w:r w:rsidR="005C56B9" w:rsidRPr="00EA0E02">
        <w:rPr>
          <w:lang w:val="fr-CA"/>
        </w:rPr>
        <w:t>»</w:t>
      </w:r>
      <w:r w:rsidR="00622CDF" w:rsidRPr="00EA0E02">
        <w:rPr>
          <w:lang w:val="fr-CA"/>
        </w:rPr>
        <w:t xml:space="preserve">, </w:t>
      </w:r>
      <w:r w:rsidR="000B35F7" w:rsidRPr="00EA0E02">
        <w:rPr>
          <w:lang w:val="fr-CA"/>
        </w:rPr>
        <w:t>«</w:t>
      </w:r>
      <w:r w:rsidR="00A92827">
        <w:rPr>
          <w:lang w:val="fr-CA"/>
        </w:rPr>
        <w:t> </w:t>
      </w:r>
      <w:r w:rsidR="000B35F7" w:rsidRPr="00EA0E02">
        <w:rPr>
          <w:lang w:val="fr-CA"/>
        </w:rPr>
        <w:t>i</w:t>
      </w:r>
      <w:r w:rsidR="005E1B37" w:rsidRPr="00EA0E02">
        <w:rPr>
          <w:lang w:val="fr-CA"/>
        </w:rPr>
        <w:t>nterdi</w:t>
      </w:r>
      <w:r w:rsidR="00C14636" w:rsidRPr="00EA0E02">
        <w:rPr>
          <w:lang w:val="fr-CA"/>
        </w:rPr>
        <w:t>ction</w:t>
      </w:r>
      <w:r w:rsidR="00AB5622" w:rsidRPr="00EA0E02">
        <w:rPr>
          <w:lang w:val="fr-CA"/>
        </w:rPr>
        <w:t xml:space="preserve"> </w:t>
      </w:r>
      <w:r w:rsidR="005E1B37" w:rsidRPr="00EA0E02">
        <w:rPr>
          <w:lang w:val="fr-CA"/>
        </w:rPr>
        <w:t>de fumer</w:t>
      </w:r>
      <w:r w:rsidR="00A92827">
        <w:rPr>
          <w:lang w:val="fr-CA"/>
        </w:rPr>
        <w:t> </w:t>
      </w:r>
      <w:r w:rsidR="000B35F7" w:rsidRPr="00EA0E02">
        <w:rPr>
          <w:lang w:val="fr-CA"/>
        </w:rPr>
        <w:t>»</w:t>
      </w:r>
      <w:r w:rsidR="00622CDF" w:rsidRPr="00EA0E02">
        <w:rPr>
          <w:lang w:val="fr-CA"/>
        </w:rPr>
        <w:t xml:space="preserve">, </w:t>
      </w:r>
      <w:r w:rsidR="000B35F7" w:rsidRPr="00EA0E02">
        <w:rPr>
          <w:lang w:val="fr-CA"/>
        </w:rPr>
        <w:t>«</w:t>
      </w:r>
      <w:r w:rsidR="00A92827">
        <w:rPr>
          <w:lang w:val="fr-CA"/>
        </w:rPr>
        <w:t> </w:t>
      </w:r>
      <w:r w:rsidR="00191AD0" w:rsidRPr="00EA0E02">
        <w:rPr>
          <w:lang w:val="fr-CA"/>
        </w:rPr>
        <w:t>interdiction de faire des feux à ciel ouvert</w:t>
      </w:r>
      <w:r w:rsidR="00A92827">
        <w:rPr>
          <w:lang w:val="fr-CA"/>
        </w:rPr>
        <w:t> </w:t>
      </w:r>
      <w:r w:rsidR="000B35F7" w:rsidRPr="00EA0E02">
        <w:rPr>
          <w:lang w:val="fr-CA"/>
        </w:rPr>
        <w:t>»</w:t>
      </w:r>
      <w:r w:rsidR="00622CDF" w:rsidRPr="00EA0E02">
        <w:rPr>
          <w:lang w:val="fr-CA"/>
        </w:rPr>
        <w:t xml:space="preserve">, </w:t>
      </w:r>
      <w:r w:rsidR="000B35F7" w:rsidRPr="00EA0E02">
        <w:rPr>
          <w:lang w:val="fr-CA"/>
        </w:rPr>
        <w:t>«</w:t>
      </w:r>
      <w:r w:rsidR="00A92827">
        <w:rPr>
          <w:lang w:val="fr-CA"/>
        </w:rPr>
        <w:t> </w:t>
      </w:r>
      <w:r w:rsidR="00EA0E02">
        <w:rPr>
          <w:lang w:val="fr-CA"/>
        </w:rPr>
        <w:t>o</w:t>
      </w:r>
      <w:r w:rsidR="008423B7" w:rsidRPr="00EA0E02">
        <w:rPr>
          <w:lang w:val="fr-CA"/>
        </w:rPr>
        <w:t>bligation de tenir les animaux de compagnie en laisse</w:t>
      </w:r>
      <w:r w:rsidR="00A92827">
        <w:rPr>
          <w:lang w:val="fr-CA"/>
        </w:rPr>
        <w:t> </w:t>
      </w:r>
      <w:r w:rsidR="000B35F7" w:rsidRPr="00EA0E02">
        <w:rPr>
          <w:lang w:val="fr-CA"/>
        </w:rPr>
        <w:t>»</w:t>
      </w:r>
      <w:r w:rsidR="00622CDF" w:rsidRPr="00EA0E02">
        <w:rPr>
          <w:lang w:val="fr-CA"/>
        </w:rPr>
        <w:t xml:space="preserve">, </w:t>
      </w:r>
      <w:r w:rsidR="000B35F7" w:rsidRPr="00EA0E02">
        <w:rPr>
          <w:lang w:val="fr-CA"/>
        </w:rPr>
        <w:t>et «</w:t>
      </w:r>
      <w:r w:rsidR="00A92827">
        <w:rPr>
          <w:lang w:val="fr-CA"/>
        </w:rPr>
        <w:t> </w:t>
      </w:r>
      <w:r w:rsidR="000B35F7" w:rsidRPr="00EA0E02">
        <w:rPr>
          <w:lang w:val="fr-CA"/>
        </w:rPr>
        <w:t>baignade interdite</w:t>
      </w:r>
      <w:r w:rsidR="00A92827">
        <w:rPr>
          <w:lang w:val="fr-CA"/>
        </w:rPr>
        <w:t> </w:t>
      </w:r>
      <w:r w:rsidR="000B35F7">
        <w:rPr>
          <w:lang w:val="fr-CA"/>
        </w:rPr>
        <w:t>».</w:t>
      </w:r>
    </w:p>
    <w:p w14:paraId="1AA37F16" w14:textId="6A99E818" w:rsidR="00D10CE5" w:rsidRDefault="00376BA1" w:rsidP="00D10CE5">
      <w:pPr>
        <w:rPr>
          <w:lang w:val="fr-CA"/>
        </w:rPr>
      </w:pPr>
      <w:r w:rsidRPr="00A7215A">
        <w:rPr>
          <w:b/>
          <w:bCs/>
          <w:lang w:val="fr-CA"/>
        </w:rPr>
        <w:t>Remarque</w:t>
      </w:r>
      <w:r w:rsidR="00622CDF" w:rsidRPr="00A7215A">
        <w:rPr>
          <w:b/>
          <w:bCs/>
          <w:lang w:val="fr-CA"/>
        </w:rPr>
        <w:t xml:space="preserve"> 2</w:t>
      </w:r>
      <w:r w:rsidR="001C5600">
        <w:rPr>
          <w:lang w:val="fr-CA"/>
        </w:rPr>
        <w:t> </w:t>
      </w:r>
      <w:r w:rsidR="00622CDF" w:rsidRPr="00622CDF">
        <w:rPr>
          <w:lang w:val="fr-CA"/>
        </w:rPr>
        <w:t xml:space="preserve">: </w:t>
      </w:r>
      <w:r w:rsidR="00A7215A">
        <w:rPr>
          <w:lang w:val="fr-CA"/>
        </w:rPr>
        <w:t>Des e</w:t>
      </w:r>
      <w:r w:rsidR="00622CDF" w:rsidRPr="00622CDF">
        <w:rPr>
          <w:lang w:val="fr-CA"/>
        </w:rPr>
        <w:t>xemples de panneaux obligatoires</w:t>
      </w:r>
      <w:r w:rsidR="008A210A">
        <w:rPr>
          <w:lang w:val="fr-CA"/>
        </w:rPr>
        <w:t xml:space="preserve"> incluent les</w:t>
      </w:r>
      <w:r w:rsidR="00622CDF" w:rsidRPr="00622CDF">
        <w:rPr>
          <w:lang w:val="fr-CA"/>
        </w:rPr>
        <w:t xml:space="preserve"> </w:t>
      </w:r>
      <w:r w:rsidR="00622CDF" w:rsidRPr="00FD1A4C">
        <w:rPr>
          <w:lang w:val="fr-CA"/>
        </w:rPr>
        <w:t>panneau</w:t>
      </w:r>
      <w:r w:rsidR="00FE7AA3" w:rsidRPr="00FD1A4C">
        <w:rPr>
          <w:lang w:val="fr-CA"/>
        </w:rPr>
        <w:t>x</w:t>
      </w:r>
      <w:r w:rsidR="00622CDF" w:rsidRPr="00FD1A4C">
        <w:rPr>
          <w:lang w:val="fr-CA"/>
        </w:rPr>
        <w:t xml:space="preserve"> de </w:t>
      </w:r>
      <w:r w:rsidR="00133921" w:rsidRPr="00FD1A4C">
        <w:rPr>
          <w:lang w:val="fr-CA"/>
        </w:rPr>
        <w:t>«</w:t>
      </w:r>
      <w:r w:rsidR="00A92827" w:rsidRPr="00FD1A4C">
        <w:rPr>
          <w:lang w:val="fr-CA"/>
        </w:rPr>
        <w:t> </w:t>
      </w:r>
      <w:r w:rsidR="00622CDF" w:rsidRPr="00FD1A4C">
        <w:rPr>
          <w:lang w:val="fr-CA"/>
        </w:rPr>
        <w:t>descen</w:t>
      </w:r>
      <w:r w:rsidR="00474FAC" w:rsidRPr="00FD1A4C">
        <w:rPr>
          <w:lang w:val="fr-CA"/>
        </w:rPr>
        <w:t>dre</w:t>
      </w:r>
      <w:r w:rsidR="00622CDF" w:rsidRPr="00FD1A4C">
        <w:rPr>
          <w:lang w:val="fr-CA"/>
        </w:rPr>
        <w:t xml:space="preserve"> </w:t>
      </w:r>
      <w:r w:rsidR="00474FAC" w:rsidRPr="00FD1A4C">
        <w:rPr>
          <w:lang w:val="fr-CA"/>
        </w:rPr>
        <w:t>du</w:t>
      </w:r>
      <w:r w:rsidR="00622CDF" w:rsidRPr="00FD1A4C">
        <w:rPr>
          <w:lang w:val="fr-CA"/>
        </w:rPr>
        <w:t xml:space="preserve"> vélo</w:t>
      </w:r>
      <w:r w:rsidR="00A92827" w:rsidRPr="00FD1A4C">
        <w:rPr>
          <w:lang w:val="fr-CA"/>
        </w:rPr>
        <w:t> </w:t>
      </w:r>
      <w:r w:rsidR="00133921" w:rsidRPr="00FD1A4C">
        <w:rPr>
          <w:lang w:val="fr-CA"/>
        </w:rPr>
        <w:t>»</w:t>
      </w:r>
      <w:r w:rsidR="00622CDF" w:rsidRPr="00FD1A4C">
        <w:rPr>
          <w:lang w:val="fr-CA"/>
        </w:rPr>
        <w:t>,</w:t>
      </w:r>
      <w:r w:rsidR="00622CDF" w:rsidRPr="00622CDF">
        <w:rPr>
          <w:lang w:val="fr-CA"/>
        </w:rPr>
        <w:t xml:space="preserve"> </w:t>
      </w:r>
      <w:r w:rsidR="00133921">
        <w:rPr>
          <w:lang w:val="fr-CA"/>
        </w:rPr>
        <w:t>«</w:t>
      </w:r>
      <w:r w:rsidR="00A92827">
        <w:rPr>
          <w:lang w:val="fr-CA"/>
        </w:rPr>
        <w:t> </w:t>
      </w:r>
      <w:r w:rsidR="00FD1A4C">
        <w:rPr>
          <w:lang w:val="fr-CA"/>
        </w:rPr>
        <w:t>garder la</w:t>
      </w:r>
      <w:r w:rsidR="00C21F46" w:rsidRPr="00CF6DD0">
        <w:rPr>
          <w:lang w:val="fr-CA"/>
        </w:rPr>
        <w:t xml:space="preserve"> droite</w:t>
      </w:r>
      <w:r w:rsidR="00A92827">
        <w:rPr>
          <w:lang w:val="fr-CA"/>
        </w:rPr>
        <w:t> </w:t>
      </w:r>
      <w:r w:rsidR="00133921">
        <w:rPr>
          <w:lang w:val="fr-CA"/>
        </w:rPr>
        <w:t>»</w:t>
      </w:r>
      <w:r w:rsidR="00622CDF" w:rsidRPr="00622CDF">
        <w:rPr>
          <w:lang w:val="fr-CA"/>
        </w:rPr>
        <w:t xml:space="preserve">, </w:t>
      </w:r>
      <w:r w:rsidR="008930CE">
        <w:rPr>
          <w:lang w:val="fr-CA"/>
        </w:rPr>
        <w:t>«</w:t>
      </w:r>
      <w:r w:rsidR="00A92827">
        <w:rPr>
          <w:lang w:val="fr-CA"/>
        </w:rPr>
        <w:t> </w:t>
      </w:r>
      <w:r w:rsidR="00583C16">
        <w:rPr>
          <w:lang w:val="fr-CA"/>
        </w:rPr>
        <w:t>garder</w:t>
      </w:r>
      <w:r w:rsidR="000252AE">
        <w:rPr>
          <w:lang w:val="fr-CA"/>
        </w:rPr>
        <w:t xml:space="preserve"> dégagé</w:t>
      </w:r>
      <w:r w:rsidR="00A92827">
        <w:rPr>
          <w:lang w:val="fr-CA"/>
        </w:rPr>
        <w:t> </w:t>
      </w:r>
      <w:r w:rsidR="00C455CB">
        <w:rPr>
          <w:lang w:val="fr-CA"/>
        </w:rPr>
        <w:t>»</w:t>
      </w:r>
      <w:r w:rsidR="00622CDF" w:rsidRPr="00622CDF">
        <w:rPr>
          <w:lang w:val="fr-CA"/>
        </w:rPr>
        <w:t>,</w:t>
      </w:r>
      <w:r w:rsidR="003E0B29">
        <w:rPr>
          <w:lang w:val="fr-CA"/>
        </w:rPr>
        <w:t xml:space="preserve"> «</w:t>
      </w:r>
      <w:r w:rsidR="00A92827">
        <w:rPr>
          <w:lang w:val="fr-CA"/>
        </w:rPr>
        <w:t> </w:t>
      </w:r>
      <w:r w:rsidR="002A3D77" w:rsidRPr="00FD1A4C">
        <w:rPr>
          <w:lang w:val="fr-CA"/>
        </w:rPr>
        <w:t xml:space="preserve">restez </w:t>
      </w:r>
      <w:r w:rsidR="00622CDF" w:rsidRPr="00FD1A4C">
        <w:rPr>
          <w:lang w:val="fr-CA"/>
        </w:rPr>
        <w:t>sur le sentier balisé</w:t>
      </w:r>
      <w:r w:rsidR="002A3D77">
        <w:rPr>
          <w:lang w:val="fr-CA"/>
        </w:rPr>
        <w:t> »</w:t>
      </w:r>
      <w:r w:rsidR="00622CDF" w:rsidRPr="00622CDF">
        <w:rPr>
          <w:lang w:val="fr-CA"/>
        </w:rPr>
        <w:t>.</w:t>
      </w:r>
    </w:p>
    <w:p w14:paraId="64BB2335" w14:textId="6BF3C73B" w:rsidR="000D057A" w:rsidRDefault="000D057A" w:rsidP="000D057A">
      <w:pPr>
        <w:pStyle w:val="Heading3"/>
        <w:rPr>
          <w:lang w:val="fr-CA"/>
        </w:rPr>
      </w:pPr>
      <w:bookmarkStart w:id="616" w:name="_Panneaux_d’avertissement"/>
      <w:bookmarkStart w:id="617" w:name="_Toc219706216"/>
      <w:bookmarkEnd w:id="616"/>
      <w:r>
        <w:rPr>
          <w:lang w:val="fr-CA"/>
        </w:rPr>
        <w:t xml:space="preserve">Panneaux </w:t>
      </w:r>
      <w:r w:rsidR="00752445">
        <w:rPr>
          <w:lang w:val="fr-CA"/>
        </w:rPr>
        <w:t>d’avertissement</w:t>
      </w:r>
      <w:r w:rsidR="00D829D4">
        <w:rPr>
          <w:lang w:val="fr-CA"/>
        </w:rPr>
        <w:t xml:space="preserve"> et de danger</w:t>
      </w:r>
      <w:bookmarkEnd w:id="617"/>
    </w:p>
    <w:p w14:paraId="04A5329A" w14:textId="77777777" w:rsidR="0051641E" w:rsidRDefault="00F17F74" w:rsidP="00893EA3">
      <w:pPr>
        <w:pStyle w:val="ListParagraph"/>
        <w:numPr>
          <w:ilvl w:val="1"/>
          <w:numId w:val="88"/>
        </w:numPr>
        <w:rPr>
          <w:lang w:val="fr-CA"/>
        </w:rPr>
      </w:pPr>
      <w:r w:rsidRPr="00B70778">
        <w:rPr>
          <w:lang w:val="fr-CA"/>
        </w:rPr>
        <w:t xml:space="preserve">Les panneaux d’avertissement signalent un </w:t>
      </w:r>
      <w:proofErr w:type="gramStart"/>
      <w:r w:rsidRPr="00B70778">
        <w:rPr>
          <w:lang w:val="fr-CA"/>
        </w:rPr>
        <w:t>danger</w:t>
      </w:r>
      <w:r w:rsidR="00DA7501" w:rsidRPr="00B70778">
        <w:rPr>
          <w:lang w:val="fr-CA"/>
        </w:rPr>
        <w:t xml:space="preserve"> potentiel</w:t>
      </w:r>
      <w:proofErr w:type="gramEnd"/>
      <w:r w:rsidR="00B70778" w:rsidRPr="00B70778">
        <w:rPr>
          <w:lang w:val="fr-CA"/>
        </w:rPr>
        <w:t>.</w:t>
      </w:r>
    </w:p>
    <w:p w14:paraId="4E91F47A" w14:textId="5092F77D" w:rsidR="00752445" w:rsidRPr="0051641E" w:rsidRDefault="0051641E" w:rsidP="00893EA3">
      <w:pPr>
        <w:pStyle w:val="ListParagraph"/>
        <w:numPr>
          <w:ilvl w:val="1"/>
          <w:numId w:val="88"/>
        </w:numPr>
        <w:rPr>
          <w:lang w:val="fr-CA"/>
        </w:rPr>
      </w:pPr>
      <w:r>
        <w:rPr>
          <w:lang w:val="fr-CA"/>
        </w:rPr>
        <w:t>L</w:t>
      </w:r>
      <w:r w:rsidR="00DA7501" w:rsidRPr="0051641E">
        <w:rPr>
          <w:lang w:val="fr-CA"/>
        </w:rPr>
        <w:t>es panneaux de danger</w:t>
      </w:r>
      <w:r w:rsidR="0041185F" w:rsidRPr="0051641E">
        <w:rPr>
          <w:lang w:val="fr-CA"/>
        </w:rPr>
        <w:t xml:space="preserve"> signalent un danger certain et les panneaux li</w:t>
      </w:r>
      <w:r w:rsidR="00EE3645" w:rsidRPr="0051641E">
        <w:rPr>
          <w:rFonts w:cs="Arial"/>
          <w:lang w:val="fr-CA"/>
        </w:rPr>
        <w:t>é</w:t>
      </w:r>
      <w:r w:rsidR="0041185F" w:rsidRPr="0051641E">
        <w:rPr>
          <w:lang w:val="fr-CA"/>
        </w:rPr>
        <w:t xml:space="preserve">s aux </w:t>
      </w:r>
      <w:r w:rsidR="007F29DA" w:rsidRPr="0051641E">
        <w:rPr>
          <w:lang w:val="fr-CA"/>
        </w:rPr>
        <w:t>situations d’urgence.</w:t>
      </w:r>
    </w:p>
    <w:p w14:paraId="75B64D55" w14:textId="1A130D01" w:rsidR="0055241B" w:rsidRDefault="0055241B" w:rsidP="00752445">
      <w:pPr>
        <w:rPr>
          <w:lang w:val="fr-CA"/>
        </w:rPr>
      </w:pPr>
      <w:r w:rsidRPr="00B72ABC">
        <w:rPr>
          <w:b/>
          <w:bCs/>
          <w:lang w:val="fr-CA"/>
        </w:rPr>
        <w:t>Remarque 1</w:t>
      </w:r>
      <w:r>
        <w:rPr>
          <w:lang w:val="fr-CA"/>
        </w:rPr>
        <w:t> : Exemples de panneaux d’avertissement </w:t>
      </w:r>
      <w:r w:rsidR="00D51A2A">
        <w:rPr>
          <w:lang w:val="fr-CA"/>
        </w:rPr>
        <w:t xml:space="preserve">incluent les panneaux d’avertissement de </w:t>
      </w:r>
      <w:r w:rsidR="00283900">
        <w:rPr>
          <w:lang w:val="fr-CA"/>
        </w:rPr>
        <w:t>radioactivité</w:t>
      </w:r>
      <w:r w:rsidR="009C2787">
        <w:rPr>
          <w:lang w:val="fr-CA"/>
        </w:rPr>
        <w:t xml:space="preserve">, de </w:t>
      </w:r>
      <w:r w:rsidR="007A348B">
        <w:rPr>
          <w:lang w:val="fr-CA"/>
        </w:rPr>
        <w:t>sortie d’urgence</w:t>
      </w:r>
      <w:r w:rsidR="00540D35">
        <w:rPr>
          <w:lang w:val="fr-CA"/>
        </w:rPr>
        <w:t xml:space="preserve">, </w:t>
      </w:r>
      <w:r w:rsidR="00FF2D1A">
        <w:rPr>
          <w:lang w:val="fr-CA"/>
        </w:rPr>
        <w:t>de zone de refuge</w:t>
      </w:r>
      <w:r w:rsidR="00FF2D1A" w:rsidRPr="0029626D">
        <w:rPr>
          <w:lang w:val="fr-CA"/>
        </w:rPr>
        <w:t xml:space="preserve">, « Attention : </w:t>
      </w:r>
      <w:r w:rsidR="00365936" w:rsidRPr="0029626D">
        <w:rPr>
          <w:lang w:val="fr-CA"/>
        </w:rPr>
        <w:t>plancher</w:t>
      </w:r>
      <w:r w:rsidR="00FF2D1A" w:rsidRPr="0029626D">
        <w:rPr>
          <w:lang w:val="fr-CA"/>
        </w:rPr>
        <w:t xml:space="preserve"> glissant lorsqu</w:t>
      </w:r>
      <w:r w:rsidR="00977D17" w:rsidRPr="0029626D">
        <w:rPr>
          <w:lang w:val="fr-CA"/>
        </w:rPr>
        <w:t>e</w:t>
      </w:r>
      <w:r w:rsidR="00FF2D1A" w:rsidRPr="0029626D">
        <w:rPr>
          <w:lang w:val="fr-CA"/>
        </w:rPr>
        <w:t xml:space="preserve"> mou</w:t>
      </w:r>
      <w:r w:rsidR="008C2813" w:rsidRPr="0029626D">
        <w:rPr>
          <w:lang w:val="fr-CA"/>
        </w:rPr>
        <w:t>ill</w:t>
      </w:r>
      <w:r w:rsidR="00F34405" w:rsidRPr="0029626D">
        <w:rPr>
          <w:rFonts w:cs="Arial"/>
          <w:lang w:val="fr-CA"/>
        </w:rPr>
        <w:t>é</w:t>
      </w:r>
      <w:r w:rsidR="008C2813" w:rsidRPr="0029626D">
        <w:rPr>
          <w:lang w:val="fr-CA"/>
        </w:rPr>
        <w:t xml:space="preserve"> », </w:t>
      </w:r>
      <w:r w:rsidR="00AE3F01" w:rsidRPr="0029626D">
        <w:rPr>
          <w:lang w:val="fr-CA"/>
        </w:rPr>
        <w:t>« </w:t>
      </w:r>
      <w:r w:rsidR="008C2813" w:rsidRPr="0029626D">
        <w:rPr>
          <w:lang w:val="fr-CA"/>
        </w:rPr>
        <w:t xml:space="preserve">grue </w:t>
      </w:r>
      <w:r w:rsidR="00533881" w:rsidRPr="0029626D">
        <w:rPr>
          <w:lang w:val="fr-CA"/>
        </w:rPr>
        <w:t>en hauteur</w:t>
      </w:r>
      <w:r w:rsidR="0029626D">
        <w:rPr>
          <w:lang w:val="fr-CA"/>
        </w:rPr>
        <w:t xml:space="preserve"> </w:t>
      </w:r>
      <w:r w:rsidR="00AE3F01" w:rsidRPr="0029626D">
        <w:rPr>
          <w:lang w:val="fr-CA"/>
        </w:rPr>
        <w:t>»</w:t>
      </w:r>
      <w:r w:rsidR="008C2813" w:rsidRPr="0029626D">
        <w:rPr>
          <w:lang w:val="fr-CA"/>
        </w:rPr>
        <w:t xml:space="preserve">, « Danger : </w:t>
      </w:r>
      <w:r w:rsidR="00D0709B" w:rsidRPr="0029626D">
        <w:rPr>
          <w:lang w:val="fr-CA"/>
        </w:rPr>
        <w:t>matière</w:t>
      </w:r>
      <w:r w:rsidR="008C2813" w:rsidRPr="0029626D">
        <w:rPr>
          <w:lang w:val="fr-CA"/>
        </w:rPr>
        <w:t xml:space="preserve"> inflammable</w:t>
      </w:r>
      <w:r w:rsidR="00D0709B" w:rsidRPr="0029626D">
        <w:rPr>
          <w:lang w:val="fr-CA"/>
        </w:rPr>
        <w:t> », substance toxique, risque électrique.</w:t>
      </w:r>
    </w:p>
    <w:p w14:paraId="1B0CA4BB" w14:textId="44F741FD" w:rsidR="00B72ABC" w:rsidRDefault="00B72ABC" w:rsidP="00752445">
      <w:pPr>
        <w:rPr>
          <w:lang w:val="fr-CA"/>
        </w:rPr>
      </w:pPr>
      <w:r w:rsidRPr="00B72ABC">
        <w:rPr>
          <w:b/>
          <w:bCs/>
          <w:lang w:val="fr-CA"/>
        </w:rPr>
        <w:t>Remarque 2</w:t>
      </w:r>
      <w:r>
        <w:rPr>
          <w:lang w:val="fr-CA"/>
        </w:rPr>
        <w:t> :</w:t>
      </w:r>
      <w:r w:rsidR="002601D6">
        <w:rPr>
          <w:lang w:val="fr-CA"/>
        </w:rPr>
        <w:t xml:space="preserve"> Exemples spécifiques aux environnements extérieurs </w:t>
      </w:r>
      <w:r w:rsidR="00DE456D">
        <w:rPr>
          <w:lang w:val="fr-CA"/>
        </w:rPr>
        <w:t xml:space="preserve">incluent les avertissements </w:t>
      </w:r>
      <w:r w:rsidR="00A66AC4">
        <w:rPr>
          <w:lang w:val="fr-CA"/>
        </w:rPr>
        <w:t>concernant la faune (p.</w:t>
      </w:r>
      <w:r w:rsidR="006A7DB9">
        <w:rPr>
          <w:lang w:val="fr-CA"/>
        </w:rPr>
        <w:t xml:space="preserve"> </w:t>
      </w:r>
      <w:r w:rsidR="00A66AC4">
        <w:rPr>
          <w:lang w:val="fr-CA"/>
        </w:rPr>
        <w:t>ex. présence d’ours</w:t>
      </w:r>
      <w:r w:rsidR="008B5AD2">
        <w:rPr>
          <w:lang w:val="fr-CA"/>
        </w:rPr>
        <w:t xml:space="preserve"> dans les environs</w:t>
      </w:r>
      <w:r w:rsidR="00A66AC4">
        <w:rPr>
          <w:lang w:val="fr-CA"/>
        </w:rPr>
        <w:t>)</w:t>
      </w:r>
      <w:r w:rsidR="00BC7116">
        <w:rPr>
          <w:lang w:val="fr-CA"/>
        </w:rPr>
        <w:t>, alertes de pentes raides ou de chutes de pierres</w:t>
      </w:r>
      <w:r w:rsidR="006F4C52">
        <w:rPr>
          <w:lang w:val="fr-CA"/>
        </w:rPr>
        <w:t>, fermeture de sentiers en raison d’inondations ou de dégâts caus</w:t>
      </w:r>
      <w:r w:rsidR="000D58FA">
        <w:rPr>
          <w:rFonts w:cs="Arial"/>
          <w:lang w:val="fr-CA"/>
        </w:rPr>
        <w:t>é</w:t>
      </w:r>
      <w:r w:rsidR="006F4C52">
        <w:rPr>
          <w:lang w:val="fr-CA"/>
        </w:rPr>
        <w:t>s par des tempêtes.</w:t>
      </w:r>
    </w:p>
    <w:p w14:paraId="7D981CCF" w14:textId="6972298C" w:rsidR="000D58FA" w:rsidRDefault="008F16A1" w:rsidP="00494C08">
      <w:pPr>
        <w:pStyle w:val="Heading3"/>
        <w:rPr>
          <w:lang w:val="fr-CA"/>
        </w:rPr>
      </w:pPr>
      <w:bookmarkStart w:id="618" w:name="_Panneaux_d’information"/>
      <w:bookmarkStart w:id="619" w:name="_Toc219706217"/>
      <w:bookmarkEnd w:id="618"/>
      <w:r>
        <w:rPr>
          <w:lang w:val="fr-CA"/>
        </w:rPr>
        <w:t>Panneaux d’information</w:t>
      </w:r>
      <w:bookmarkEnd w:id="619"/>
    </w:p>
    <w:p w14:paraId="1A0C703D" w14:textId="44AF71E2" w:rsidR="0008621D" w:rsidRDefault="0008621D" w:rsidP="0008621D">
      <w:pPr>
        <w:rPr>
          <w:lang w:val="fr-CA"/>
        </w:rPr>
      </w:pPr>
      <w:r>
        <w:rPr>
          <w:lang w:val="fr-CA"/>
        </w:rPr>
        <w:t>Les panneaux d’information fournissent des informations générales, explicatives ou interprétatives en complément d’autres types de panneaux.</w:t>
      </w:r>
    </w:p>
    <w:p w14:paraId="35D8E37C" w14:textId="2FB43CD5" w:rsidR="0008621D" w:rsidRDefault="009B5F9E" w:rsidP="0008621D">
      <w:pPr>
        <w:rPr>
          <w:lang w:val="fr-CA"/>
        </w:rPr>
      </w:pPr>
      <w:r w:rsidRPr="009B5F9E">
        <w:rPr>
          <w:b/>
          <w:bCs/>
          <w:lang w:val="fr-CA"/>
        </w:rPr>
        <w:lastRenderedPageBreak/>
        <w:t>Remarque</w:t>
      </w:r>
      <w:r>
        <w:rPr>
          <w:lang w:val="fr-CA"/>
        </w:rPr>
        <w:t xml:space="preserve"> : </w:t>
      </w:r>
      <w:r w:rsidR="008B46C3">
        <w:rPr>
          <w:lang w:val="fr-CA"/>
        </w:rPr>
        <w:t xml:space="preserve">Des exemples de panneaux d’information incluent </w:t>
      </w:r>
      <w:r w:rsidR="001E58DC">
        <w:rPr>
          <w:lang w:val="fr-CA"/>
        </w:rPr>
        <w:t xml:space="preserve">les heures d’ouverture, les instructions pour accéder </w:t>
      </w:r>
      <w:r w:rsidR="000E74AB">
        <w:rPr>
          <w:lang w:val="fr-CA"/>
        </w:rPr>
        <w:t>à</w:t>
      </w:r>
      <w:r w:rsidR="001E58DC">
        <w:rPr>
          <w:lang w:val="fr-CA"/>
        </w:rPr>
        <w:t xml:space="preserve"> une </w:t>
      </w:r>
      <w:r w:rsidR="000E74AB">
        <w:rPr>
          <w:lang w:val="fr-CA"/>
        </w:rPr>
        <w:t>pièce, le contenu interprétatif li</w:t>
      </w:r>
      <w:r w:rsidR="000E74AB">
        <w:rPr>
          <w:rFonts w:cs="Arial"/>
          <w:lang w:val="fr-CA"/>
        </w:rPr>
        <w:t>é</w:t>
      </w:r>
      <w:r w:rsidR="000E74AB">
        <w:rPr>
          <w:lang w:val="fr-CA"/>
        </w:rPr>
        <w:t xml:space="preserve"> à l’art public, </w:t>
      </w:r>
      <w:r w:rsidR="00EA014F">
        <w:rPr>
          <w:lang w:val="fr-CA"/>
        </w:rPr>
        <w:t>les panneaux éducatifs dans les parcs, les descriptions du patrimoine.</w:t>
      </w:r>
    </w:p>
    <w:p w14:paraId="0DDB5451" w14:textId="7981F4B1" w:rsidR="00160AAD" w:rsidRDefault="00A43C24" w:rsidP="00650830">
      <w:pPr>
        <w:pStyle w:val="Heading3"/>
        <w:rPr>
          <w:lang w:val="fr-CA"/>
        </w:rPr>
      </w:pPr>
      <w:bookmarkStart w:id="620" w:name="_Panneaux_temporaires"/>
      <w:bookmarkStart w:id="621" w:name="_Toc219706218"/>
      <w:bookmarkEnd w:id="620"/>
      <w:r>
        <w:rPr>
          <w:lang w:val="fr-CA"/>
        </w:rPr>
        <w:t>Panneaux temporaires</w:t>
      </w:r>
      <w:bookmarkEnd w:id="621"/>
    </w:p>
    <w:p w14:paraId="0F54DD6A" w14:textId="1FF22117" w:rsidR="00A43C24" w:rsidRDefault="00B21A42" w:rsidP="00A43C24">
      <w:pPr>
        <w:rPr>
          <w:lang w:val="fr-CA"/>
        </w:rPr>
      </w:pPr>
      <w:r w:rsidRPr="00B21A42">
        <w:rPr>
          <w:lang w:val="fr-CA"/>
        </w:rPr>
        <w:t xml:space="preserve">Les panneaux temporaires fournissent des informations relatives à la sécurité, des indications directionnelles ou des informations essentielles liées à un événement, notamment des avis de </w:t>
      </w:r>
      <w:r>
        <w:rPr>
          <w:lang w:val="fr-CA"/>
        </w:rPr>
        <w:t>construction</w:t>
      </w:r>
      <w:r w:rsidRPr="00B21A42">
        <w:rPr>
          <w:lang w:val="fr-CA"/>
        </w:rPr>
        <w:t>, des fermetures temporaires, des itinéraires de dé</w:t>
      </w:r>
      <w:r w:rsidR="005E0386">
        <w:rPr>
          <w:lang w:val="fr-CA"/>
        </w:rPr>
        <w:t>tour</w:t>
      </w:r>
      <w:r w:rsidRPr="00B21A42">
        <w:rPr>
          <w:lang w:val="fr-CA"/>
        </w:rPr>
        <w:t xml:space="preserve"> et des informations relatives à </w:t>
      </w:r>
      <w:r w:rsidR="00C055F9">
        <w:rPr>
          <w:lang w:val="fr-CA"/>
        </w:rPr>
        <w:t>l’</w:t>
      </w:r>
      <w:r w:rsidRPr="00B21A42">
        <w:rPr>
          <w:lang w:val="fr-CA"/>
        </w:rPr>
        <w:t xml:space="preserve">événement </w:t>
      </w:r>
      <w:r w:rsidR="00791A2E">
        <w:rPr>
          <w:lang w:val="fr-CA"/>
        </w:rPr>
        <w:t xml:space="preserve">qui sont </w:t>
      </w:r>
      <w:r w:rsidRPr="00B21A42">
        <w:rPr>
          <w:lang w:val="fr-CA"/>
        </w:rPr>
        <w:t>nécessaires à la navigation ou à la participation.</w:t>
      </w:r>
    </w:p>
    <w:p w14:paraId="1A63BEB9" w14:textId="54482CAD" w:rsidR="00791A2E" w:rsidRDefault="00791A2E" w:rsidP="00A43C24">
      <w:pPr>
        <w:rPr>
          <w:lang w:val="fr-CA"/>
        </w:rPr>
      </w:pPr>
      <w:r w:rsidRPr="00721136">
        <w:rPr>
          <w:b/>
          <w:bCs/>
          <w:lang w:val="fr-CA"/>
        </w:rPr>
        <w:t>Remarque 1</w:t>
      </w:r>
      <w:r>
        <w:rPr>
          <w:lang w:val="fr-CA"/>
        </w:rPr>
        <w:t> : Des exemples de panneaux temporaires</w:t>
      </w:r>
      <w:r w:rsidR="00322EBF">
        <w:rPr>
          <w:lang w:val="fr-CA"/>
        </w:rPr>
        <w:t xml:space="preserve"> incluent les zones de construction, la fermeture temporaire de salle de bains, </w:t>
      </w:r>
      <w:r w:rsidR="00721136">
        <w:rPr>
          <w:lang w:val="fr-CA"/>
        </w:rPr>
        <w:t xml:space="preserve">les </w:t>
      </w:r>
      <w:r w:rsidR="004B564C">
        <w:rPr>
          <w:lang w:val="fr-CA"/>
        </w:rPr>
        <w:t>plancher</w:t>
      </w:r>
      <w:r w:rsidR="00721136">
        <w:rPr>
          <w:lang w:val="fr-CA"/>
        </w:rPr>
        <w:t>s</w:t>
      </w:r>
      <w:r w:rsidR="00322EBF">
        <w:rPr>
          <w:lang w:val="fr-CA"/>
        </w:rPr>
        <w:t xml:space="preserve"> mouill</w:t>
      </w:r>
      <w:r w:rsidR="004B564C">
        <w:rPr>
          <w:rFonts w:cs="Arial"/>
          <w:lang w:val="fr-CA"/>
        </w:rPr>
        <w:t>é</w:t>
      </w:r>
      <w:r w:rsidR="00721136">
        <w:rPr>
          <w:rFonts w:cs="Arial"/>
          <w:lang w:val="fr-CA"/>
        </w:rPr>
        <w:t>s</w:t>
      </w:r>
      <w:r w:rsidR="00EE2AE2">
        <w:rPr>
          <w:lang w:val="fr-CA"/>
        </w:rPr>
        <w:t xml:space="preserve">, les panneaux de </w:t>
      </w:r>
      <w:r w:rsidR="004B564C">
        <w:rPr>
          <w:lang w:val="fr-CA"/>
        </w:rPr>
        <w:t>déviation</w:t>
      </w:r>
      <w:r w:rsidR="00EE2AE2">
        <w:rPr>
          <w:lang w:val="fr-CA"/>
        </w:rPr>
        <w:t xml:space="preserve"> pour un festival en plein ai</w:t>
      </w:r>
      <w:r w:rsidR="004B564C">
        <w:rPr>
          <w:lang w:val="fr-CA"/>
        </w:rPr>
        <w:t>r.</w:t>
      </w:r>
    </w:p>
    <w:p w14:paraId="1E6EAD04" w14:textId="67A84B87" w:rsidR="00721136" w:rsidRDefault="00721136" w:rsidP="00A43C24">
      <w:pPr>
        <w:rPr>
          <w:lang w:val="fr-CA"/>
        </w:rPr>
      </w:pPr>
      <w:r w:rsidRPr="00216D30">
        <w:rPr>
          <w:b/>
          <w:bCs/>
          <w:lang w:val="fr-CA"/>
        </w:rPr>
        <w:t>Remarque 2</w:t>
      </w:r>
      <w:r>
        <w:rPr>
          <w:lang w:val="fr-CA"/>
        </w:rPr>
        <w:t xml:space="preserve"> : </w:t>
      </w:r>
      <w:r w:rsidR="00216D30" w:rsidRPr="00216D30">
        <w:rPr>
          <w:lang w:val="fr-CA"/>
        </w:rPr>
        <w:t>Les panneaux qui ne sont pas liés à la sécurité, à l</w:t>
      </w:r>
      <w:r w:rsidR="009E20CA">
        <w:rPr>
          <w:lang w:val="fr-CA"/>
        </w:rPr>
        <w:t>’</w:t>
      </w:r>
      <w:r w:rsidR="00216D30" w:rsidRPr="00216D30">
        <w:rPr>
          <w:lang w:val="fr-CA"/>
        </w:rPr>
        <w:t>orientation ou à l</w:t>
      </w:r>
      <w:r w:rsidR="009E20CA">
        <w:rPr>
          <w:lang w:val="fr-CA"/>
        </w:rPr>
        <w:t>’</w:t>
      </w:r>
      <w:r w:rsidR="00216D30" w:rsidRPr="00216D30">
        <w:rPr>
          <w:lang w:val="fr-CA"/>
        </w:rPr>
        <w:t>accès essentiel, tel que les affichages décoratifs ou les avis communautaires informels (p</w:t>
      </w:r>
      <w:r w:rsidR="00216D30">
        <w:rPr>
          <w:lang w:val="fr-CA"/>
        </w:rPr>
        <w:t>.</w:t>
      </w:r>
      <w:r w:rsidR="006A7DB9">
        <w:rPr>
          <w:lang w:val="fr-CA"/>
        </w:rPr>
        <w:t xml:space="preserve"> </w:t>
      </w:r>
      <w:r w:rsidR="00216D30">
        <w:rPr>
          <w:lang w:val="fr-CA"/>
        </w:rPr>
        <w:t>ex.</w:t>
      </w:r>
      <w:r w:rsidR="00216D30" w:rsidRPr="00216D30">
        <w:rPr>
          <w:lang w:val="fr-CA"/>
        </w:rPr>
        <w:t xml:space="preserve"> les ventes de pâtisseries), doivent respecter les meilleures pratiques en matière de lisibilité et d</w:t>
      </w:r>
      <w:r w:rsidR="009E20CA">
        <w:rPr>
          <w:lang w:val="fr-CA"/>
        </w:rPr>
        <w:t>’</w:t>
      </w:r>
      <w:r w:rsidR="00216D30" w:rsidRPr="00216D30">
        <w:rPr>
          <w:lang w:val="fr-CA"/>
        </w:rPr>
        <w:t>emplacement, mais les exigences en matière d</w:t>
      </w:r>
      <w:r w:rsidR="009E20CA">
        <w:rPr>
          <w:lang w:val="fr-CA"/>
        </w:rPr>
        <w:t>’</w:t>
      </w:r>
      <w:r w:rsidR="00216D30" w:rsidRPr="00216D30">
        <w:rPr>
          <w:lang w:val="fr-CA"/>
        </w:rPr>
        <w:t>accessibilité ne sont pas obligatoires.</w:t>
      </w:r>
    </w:p>
    <w:p w14:paraId="07C5C57B" w14:textId="1E78D88B" w:rsidR="00216D30" w:rsidRDefault="005F50A8" w:rsidP="00216D30">
      <w:pPr>
        <w:pStyle w:val="Heading3"/>
        <w:rPr>
          <w:lang w:val="fr-CA"/>
        </w:rPr>
      </w:pPr>
      <w:bookmarkStart w:id="622" w:name="_Panneaux_de_stationnement"/>
      <w:bookmarkStart w:id="623" w:name="_Toc219706219"/>
      <w:bookmarkEnd w:id="622"/>
      <w:r>
        <w:rPr>
          <w:lang w:val="fr-CA"/>
        </w:rPr>
        <w:t>Panneaux de stationnement</w:t>
      </w:r>
      <w:bookmarkEnd w:id="623"/>
    </w:p>
    <w:p w14:paraId="1008F9D2" w14:textId="2A53CCB3" w:rsidR="002D1570" w:rsidRPr="002D1570" w:rsidRDefault="002D1570" w:rsidP="002D1570">
      <w:pPr>
        <w:rPr>
          <w:lang w:val="fr-CA"/>
        </w:rPr>
      </w:pPr>
      <w:r w:rsidRPr="002D1570">
        <w:rPr>
          <w:lang w:val="fr-CA"/>
        </w:rPr>
        <w:t>Les panneaux de stationnement fournissent des informations sur les directions, les instructions, etc.</w:t>
      </w:r>
      <w:r w:rsidR="00D02286">
        <w:rPr>
          <w:lang w:val="fr-CA"/>
        </w:rPr>
        <w:t>,</w:t>
      </w:r>
      <w:r w:rsidRPr="002D1570">
        <w:rPr>
          <w:lang w:val="fr-CA"/>
        </w:rPr>
        <w:t xml:space="preserve"> dans un </w:t>
      </w:r>
      <w:r w:rsidR="00D02286">
        <w:rPr>
          <w:lang w:val="fr-CA"/>
        </w:rPr>
        <w:t>stationnement</w:t>
      </w:r>
      <w:r w:rsidRPr="002D1570">
        <w:rPr>
          <w:lang w:val="fr-CA"/>
        </w:rPr>
        <w:t>. Ce type de panneau est exclusivement destiné aux automobilistes.</w:t>
      </w:r>
    </w:p>
    <w:p w14:paraId="65C822FF" w14:textId="10CCB13E" w:rsidR="005F50A8" w:rsidRDefault="002D1570" w:rsidP="002D1570">
      <w:pPr>
        <w:rPr>
          <w:lang w:val="fr-CA"/>
        </w:rPr>
      </w:pPr>
      <w:r w:rsidRPr="00207A7D">
        <w:rPr>
          <w:b/>
          <w:bCs/>
          <w:lang w:val="fr-CA"/>
        </w:rPr>
        <w:t>Remarque</w:t>
      </w:r>
      <w:r w:rsidR="001C5600">
        <w:rPr>
          <w:lang w:val="fr-CA"/>
        </w:rPr>
        <w:t> </w:t>
      </w:r>
      <w:r w:rsidRPr="002D1570">
        <w:rPr>
          <w:lang w:val="fr-CA"/>
        </w:rPr>
        <w:t xml:space="preserve">: </w:t>
      </w:r>
      <w:r w:rsidR="006F230D">
        <w:rPr>
          <w:lang w:val="fr-CA"/>
        </w:rPr>
        <w:t>Consulte</w:t>
      </w:r>
      <w:r w:rsidR="002412B8">
        <w:rPr>
          <w:lang w:val="fr-CA"/>
        </w:rPr>
        <w:t>r les</w:t>
      </w:r>
      <w:r w:rsidRPr="002D1570">
        <w:rPr>
          <w:lang w:val="fr-CA"/>
        </w:rPr>
        <w:t xml:space="preserve"> autres types de panneaux pour les panneaux qui ne sont pas exclusivement destinés aux automobilistes dans un </w:t>
      </w:r>
      <w:r w:rsidR="00D02286">
        <w:rPr>
          <w:lang w:val="fr-CA"/>
        </w:rPr>
        <w:t>stationnement</w:t>
      </w:r>
      <w:r w:rsidRPr="002D1570">
        <w:rPr>
          <w:lang w:val="fr-CA"/>
        </w:rPr>
        <w:t>, tels que les panneaux destinés aux piétons.</w:t>
      </w:r>
    </w:p>
    <w:p w14:paraId="3D4C2406" w14:textId="77777777" w:rsidR="00AE5A77" w:rsidRDefault="00886563" w:rsidP="00AE5A77">
      <w:pPr>
        <w:pStyle w:val="Heading3"/>
        <w:rPr>
          <w:lang w:val="fr-CA"/>
        </w:rPr>
      </w:pPr>
      <w:bookmarkStart w:id="624" w:name="_Toc219706220"/>
      <w:r w:rsidRPr="003E3D7B">
        <w:rPr>
          <w:lang w:val="fr-CA"/>
        </w:rPr>
        <w:lastRenderedPageBreak/>
        <w:t>Exigences pour différents types de signal</w:t>
      </w:r>
      <w:r w:rsidR="00FC45BB" w:rsidRPr="003E3D7B">
        <w:rPr>
          <w:lang w:val="fr-CA"/>
        </w:rPr>
        <w:t>isation</w:t>
      </w:r>
      <w:bookmarkEnd w:id="624"/>
    </w:p>
    <w:p w14:paraId="15B158F4" w14:textId="72E0A95C" w:rsidR="0043097B" w:rsidRPr="0043097B" w:rsidRDefault="0043097B" w:rsidP="0043097B">
      <w:pPr>
        <w:rPr>
          <w:lang w:val="fr-CA"/>
        </w:rPr>
      </w:pPr>
      <w:r>
        <w:rPr>
          <w:lang w:val="fr-CA"/>
        </w:rPr>
        <w:t>La signalisation doit :</w:t>
      </w:r>
    </w:p>
    <w:p w14:paraId="613A7BA3" w14:textId="2B629CA8" w:rsidR="001A1A5A" w:rsidRPr="001A1A5A" w:rsidRDefault="00662FC5" w:rsidP="003F66F0">
      <w:pPr>
        <w:pStyle w:val="ListParagraph"/>
        <w:numPr>
          <w:ilvl w:val="0"/>
          <w:numId w:val="79"/>
        </w:numPr>
        <w:rPr>
          <w:lang w:val="fr-CA"/>
        </w:rPr>
      </w:pPr>
      <w:proofErr w:type="gramStart"/>
      <w:r>
        <w:rPr>
          <w:lang w:val="fr-CA"/>
        </w:rPr>
        <w:t>pour</w:t>
      </w:r>
      <w:proofErr w:type="gramEnd"/>
      <w:r>
        <w:rPr>
          <w:lang w:val="fr-CA"/>
        </w:rPr>
        <w:t xml:space="preserve"> les panneaux </w:t>
      </w:r>
      <w:r w:rsidRPr="001A1A5A">
        <w:rPr>
          <w:lang w:val="fr-CA"/>
        </w:rPr>
        <w:t>d</w:t>
      </w:r>
      <w:r w:rsidR="009E20CA">
        <w:rPr>
          <w:lang w:val="fr-CA"/>
        </w:rPr>
        <w:t>’</w:t>
      </w:r>
      <w:r w:rsidRPr="001A1A5A">
        <w:rPr>
          <w:lang w:val="fr-CA"/>
        </w:rPr>
        <w:t>identification destinés aux piétons</w:t>
      </w:r>
      <w:r>
        <w:rPr>
          <w:lang w:val="fr-CA"/>
        </w:rPr>
        <w:t>,</w:t>
      </w:r>
      <w:r w:rsidRPr="001A1A5A">
        <w:rPr>
          <w:lang w:val="fr-CA"/>
        </w:rPr>
        <w:t xml:space="preserve"> </w:t>
      </w:r>
      <w:r w:rsidR="001A1A5A" w:rsidRPr="001A1A5A">
        <w:rPr>
          <w:lang w:val="fr-CA"/>
        </w:rPr>
        <w:t>inclure des caractères tactiles et du braille;</w:t>
      </w:r>
    </w:p>
    <w:p w14:paraId="6830D7B6" w14:textId="77777777" w:rsidR="00D45525" w:rsidRDefault="001A1A5A" w:rsidP="003F66F0">
      <w:pPr>
        <w:pStyle w:val="ListParagraph"/>
        <w:numPr>
          <w:ilvl w:val="1"/>
          <w:numId w:val="79"/>
        </w:numPr>
        <w:rPr>
          <w:lang w:val="fr-CA"/>
        </w:rPr>
      </w:pPr>
      <w:proofErr w:type="gramStart"/>
      <w:r w:rsidRPr="001A1A5A">
        <w:rPr>
          <w:lang w:val="fr-CA"/>
        </w:rPr>
        <w:t>les</w:t>
      </w:r>
      <w:proofErr w:type="gramEnd"/>
      <w:r w:rsidRPr="001A1A5A">
        <w:rPr>
          <w:lang w:val="fr-CA"/>
        </w:rPr>
        <w:t xml:space="preserve"> panneaux</w:t>
      </w:r>
      <w:r w:rsidR="00890354">
        <w:rPr>
          <w:lang w:val="fr-CA"/>
        </w:rPr>
        <w:t xml:space="preserve"> d’identification</w:t>
      </w:r>
      <w:r w:rsidRPr="001A1A5A">
        <w:rPr>
          <w:lang w:val="fr-CA"/>
        </w:rPr>
        <w:t>;</w:t>
      </w:r>
    </w:p>
    <w:p w14:paraId="4B10AF69" w14:textId="290AB8F5" w:rsidR="001A1A5A" w:rsidRDefault="001A1A5A" w:rsidP="003F66F0">
      <w:pPr>
        <w:pStyle w:val="ListParagraph"/>
        <w:numPr>
          <w:ilvl w:val="1"/>
          <w:numId w:val="79"/>
        </w:numPr>
        <w:rPr>
          <w:lang w:val="fr-CA"/>
        </w:rPr>
      </w:pPr>
      <w:proofErr w:type="gramStart"/>
      <w:r w:rsidRPr="00D45525">
        <w:rPr>
          <w:lang w:val="fr-CA"/>
        </w:rPr>
        <w:t>les</w:t>
      </w:r>
      <w:proofErr w:type="gramEnd"/>
      <w:r w:rsidRPr="00D45525">
        <w:rPr>
          <w:lang w:val="fr-CA"/>
        </w:rPr>
        <w:t xml:space="preserve"> panneaux </w:t>
      </w:r>
      <w:r w:rsidR="00396A51">
        <w:rPr>
          <w:lang w:val="fr-CA"/>
        </w:rPr>
        <w:t>obligatoires</w:t>
      </w:r>
      <w:r w:rsidRPr="00D45525">
        <w:rPr>
          <w:lang w:val="fr-CA"/>
        </w:rPr>
        <w:t>;</w:t>
      </w:r>
      <w:r w:rsidR="00754FC9">
        <w:rPr>
          <w:lang w:val="fr-CA"/>
        </w:rPr>
        <w:t xml:space="preserve"> et</w:t>
      </w:r>
    </w:p>
    <w:p w14:paraId="419D65FB" w14:textId="09C32019" w:rsidR="00754FC9" w:rsidRPr="00D45525" w:rsidRDefault="00754FC9" w:rsidP="003F66F0">
      <w:pPr>
        <w:pStyle w:val="ListParagraph"/>
        <w:numPr>
          <w:ilvl w:val="1"/>
          <w:numId w:val="79"/>
        </w:numPr>
        <w:rPr>
          <w:lang w:val="fr-CA"/>
        </w:rPr>
      </w:pPr>
      <w:proofErr w:type="gramStart"/>
      <w:r>
        <w:rPr>
          <w:lang w:val="fr-CA"/>
        </w:rPr>
        <w:t>les</w:t>
      </w:r>
      <w:proofErr w:type="gramEnd"/>
      <w:r>
        <w:rPr>
          <w:lang w:val="fr-CA"/>
        </w:rPr>
        <w:t xml:space="preserve"> panneaux d’avertissement</w:t>
      </w:r>
      <w:r w:rsidR="006E22FD">
        <w:rPr>
          <w:lang w:val="fr-CA"/>
        </w:rPr>
        <w:t>; et</w:t>
      </w:r>
    </w:p>
    <w:p w14:paraId="5A26266F" w14:textId="6BFE962D" w:rsidR="001A1A5A" w:rsidRPr="001A1A5A" w:rsidRDefault="001A1A5A" w:rsidP="003F66F0">
      <w:pPr>
        <w:pStyle w:val="ListParagraph"/>
        <w:numPr>
          <w:ilvl w:val="0"/>
          <w:numId w:val="79"/>
        </w:numPr>
        <w:rPr>
          <w:lang w:val="fr-CA"/>
        </w:rPr>
      </w:pPr>
      <w:proofErr w:type="gramStart"/>
      <w:r w:rsidRPr="001A1A5A">
        <w:rPr>
          <w:lang w:val="fr-CA"/>
        </w:rPr>
        <w:t>être</w:t>
      </w:r>
      <w:proofErr w:type="gramEnd"/>
      <w:r w:rsidRPr="001A1A5A">
        <w:rPr>
          <w:lang w:val="fr-CA"/>
        </w:rPr>
        <w:t xml:space="preserve"> installé près de la zone désignée où l</w:t>
      </w:r>
      <w:r w:rsidR="009E20CA">
        <w:rPr>
          <w:lang w:val="fr-CA"/>
        </w:rPr>
        <w:t>’</w:t>
      </w:r>
      <w:r w:rsidRPr="001A1A5A">
        <w:rPr>
          <w:lang w:val="fr-CA"/>
        </w:rPr>
        <w:t>information est nécessaire sous forme de panneaux d</w:t>
      </w:r>
      <w:r w:rsidR="009E20CA">
        <w:rPr>
          <w:lang w:val="fr-CA"/>
        </w:rPr>
        <w:t>’</w:t>
      </w:r>
      <w:r w:rsidRPr="001A1A5A">
        <w:rPr>
          <w:lang w:val="fr-CA"/>
        </w:rPr>
        <w:t>information. Par exemple, les heures d</w:t>
      </w:r>
      <w:r w:rsidR="009E20CA">
        <w:rPr>
          <w:lang w:val="fr-CA"/>
        </w:rPr>
        <w:t>’</w:t>
      </w:r>
      <w:r w:rsidRPr="001A1A5A">
        <w:rPr>
          <w:lang w:val="fr-CA"/>
        </w:rPr>
        <w:t>ouverture peuvent être installées sur la porte battante non opérationnelle lorsque cela est possible;</w:t>
      </w:r>
    </w:p>
    <w:p w14:paraId="049D619F" w14:textId="167DC105" w:rsidR="001A1A5A" w:rsidRPr="001A1A5A" w:rsidRDefault="000F7A24" w:rsidP="003F66F0">
      <w:pPr>
        <w:pStyle w:val="ListParagraph"/>
        <w:numPr>
          <w:ilvl w:val="0"/>
          <w:numId w:val="79"/>
        </w:numPr>
        <w:rPr>
          <w:lang w:val="fr-CA"/>
        </w:rPr>
      </w:pPr>
      <w:proofErr w:type="gramStart"/>
      <w:r>
        <w:rPr>
          <w:lang w:val="fr-CA"/>
        </w:rPr>
        <w:t>p</w:t>
      </w:r>
      <w:r w:rsidR="001A1A5A" w:rsidRPr="001A1A5A">
        <w:rPr>
          <w:lang w:val="fr-CA"/>
        </w:rPr>
        <w:t>our</w:t>
      </w:r>
      <w:proofErr w:type="gramEnd"/>
      <w:r w:rsidR="001A1A5A" w:rsidRPr="001A1A5A">
        <w:rPr>
          <w:lang w:val="fr-CA"/>
        </w:rPr>
        <w:t xml:space="preserve"> tout </w:t>
      </w:r>
      <w:r w:rsidR="00263DAC">
        <w:rPr>
          <w:lang w:val="fr-CA"/>
        </w:rPr>
        <w:t>panneau</w:t>
      </w:r>
      <w:r w:rsidR="001A1A5A" w:rsidRPr="001A1A5A">
        <w:rPr>
          <w:lang w:val="fr-CA"/>
        </w:rPr>
        <w:t xml:space="preserve"> vertical</w:t>
      </w:r>
      <w:r w:rsidR="001C5600">
        <w:rPr>
          <w:lang w:val="fr-CA"/>
        </w:rPr>
        <w:t> </w:t>
      </w:r>
      <w:r w:rsidR="001A1A5A" w:rsidRPr="001A1A5A">
        <w:rPr>
          <w:lang w:val="fr-CA"/>
        </w:rPr>
        <w:t>:</w:t>
      </w:r>
    </w:p>
    <w:p w14:paraId="24B6B674" w14:textId="50345E48" w:rsidR="001A1A5A" w:rsidRPr="001A1A5A" w:rsidRDefault="001A1A5A" w:rsidP="003F66F0">
      <w:pPr>
        <w:pStyle w:val="ListParagraph"/>
        <w:numPr>
          <w:ilvl w:val="1"/>
          <w:numId w:val="79"/>
        </w:numPr>
        <w:rPr>
          <w:lang w:val="fr-CA"/>
        </w:rPr>
      </w:pPr>
      <w:proofErr w:type="gramStart"/>
      <w:r w:rsidRPr="001A1A5A">
        <w:rPr>
          <w:lang w:val="fr-CA"/>
        </w:rPr>
        <w:t>ne</w:t>
      </w:r>
      <w:proofErr w:type="gramEnd"/>
      <w:r w:rsidRPr="001A1A5A">
        <w:rPr>
          <w:lang w:val="fr-CA"/>
        </w:rPr>
        <w:t xml:space="preserve"> pas créer d</w:t>
      </w:r>
      <w:r w:rsidR="009E20CA">
        <w:rPr>
          <w:lang w:val="fr-CA"/>
        </w:rPr>
        <w:t>’</w:t>
      </w:r>
      <w:r w:rsidRPr="001A1A5A">
        <w:rPr>
          <w:lang w:val="fr-CA"/>
        </w:rPr>
        <w:t xml:space="preserve">obstacle sur </w:t>
      </w:r>
      <w:r w:rsidR="00C33D5B" w:rsidRPr="001A1A5A">
        <w:rPr>
          <w:lang w:val="fr-CA"/>
        </w:rPr>
        <w:t>la voie</w:t>
      </w:r>
      <w:r w:rsidR="00C33D5B">
        <w:rPr>
          <w:lang w:val="fr-CA"/>
        </w:rPr>
        <w:t xml:space="preserve"> de circulation</w:t>
      </w:r>
      <w:r w:rsidR="003C262F">
        <w:rPr>
          <w:lang w:val="fr-CA"/>
        </w:rPr>
        <w:t>;</w:t>
      </w:r>
    </w:p>
    <w:p w14:paraId="108241A2" w14:textId="74D9FB9A" w:rsidR="001A1A5A" w:rsidRPr="001A1A5A" w:rsidRDefault="00C33D5B" w:rsidP="003F66F0">
      <w:pPr>
        <w:pStyle w:val="ListParagraph"/>
        <w:numPr>
          <w:ilvl w:val="1"/>
          <w:numId w:val="79"/>
        </w:numPr>
        <w:rPr>
          <w:lang w:val="fr-CA"/>
        </w:rPr>
      </w:pPr>
      <w:proofErr w:type="gramStart"/>
      <w:r>
        <w:rPr>
          <w:lang w:val="fr-CA"/>
        </w:rPr>
        <w:t>l</w:t>
      </w:r>
      <w:r w:rsidR="001A1A5A" w:rsidRPr="001A1A5A">
        <w:rPr>
          <w:lang w:val="fr-CA"/>
        </w:rPr>
        <w:t>orsqu</w:t>
      </w:r>
      <w:r w:rsidR="009E20CA">
        <w:rPr>
          <w:lang w:val="fr-CA"/>
        </w:rPr>
        <w:t>’</w:t>
      </w:r>
      <w:r w:rsidR="001A1A5A" w:rsidRPr="001A1A5A">
        <w:rPr>
          <w:lang w:val="fr-CA"/>
        </w:rPr>
        <w:t>il</w:t>
      </w:r>
      <w:proofErr w:type="gramEnd"/>
      <w:r w:rsidR="001A1A5A" w:rsidRPr="001A1A5A">
        <w:rPr>
          <w:lang w:val="fr-CA"/>
        </w:rPr>
        <w:t xml:space="preserve"> est installé à l</w:t>
      </w:r>
      <w:r w:rsidR="009E20CA">
        <w:rPr>
          <w:lang w:val="fr-CA"/>
        </w:rPr>
        <w:t>’</w:t>
      </w:r>
      <w:r w:rsidR="001A1A5A" w:rsidRPr="001A1A5A">
        <w:rPr>
          <w:lang w:val="fr-CA"/>
        </w:rPr>
        <w:t>extérieur, il doit être placé à un endroit qui ne gêne pas l</w:t>
      </w:r>
      <w:r w:rsidR="003C262F">
        <w:rPr>
          <w:lang w:val="fr-CA"/>
        </w:rPr>
        <w:t>a voie de circulation; et</w:t>
      </w:r>
    </w:p>
    <w:p w14:paraId="701C8DE2" w14:textId="49BDBC6D" w:rsidR="001A1A5A" w:rsidRPr="001A1A5A" w:rsidRDefault="001A1A5A" w:rsidP="003F66F0">
      <w:pPr>
        <w:pStyle w:val="ListParagraph"/>
        <w:numPr>
          <w:ilvl w:val="1"/>
          <w:numId w:val="79"/>
        </w:numPr>
        <w:rPr>
          <w:lang w:val="fr-CA"/>
        </w:rPr>
      </w:pPr>
      <w:proofErr w:type="gramStart"/>
      <w:r w:rsidRPr="001A1A5A">
        <w:rPr>
          <w:lang w:val="fr-CA"/>
        </w:rPr>
        <w:t>maintenir</w:t>
      </w:r>
      <w:proofErr w:type="gramEnd"/>
      <w:r w:rsidRPr="001A1A5A">
        <w:rPr>
          <w:lang w:val="fr-CA"/>
        </w:rPr>
        <w:t xml:space="preserve"> un contraste lumineux d</w:t>
      </w:r>
      <w:r w:rsidR="009E20CA">
        <w:rPr>
          <w:lang w:val="fr-CA"/>
        </w:rPr>
        <w:t>’</w:t>
      </w:r>
      <w:r w:rsidRPr="001A1A5A">
        <w:rPr>
          <w:lang w:val="fr-CA"/>
        </w:rPr>
        <w:t>au moins 70</w:t>
      </w:r>
      <w:r w:rsidR="00D8285E">
        <w:rPr>
          <w:lang w:val="fr-CA"/>
        </w:rPr>
        <w:t> </w:t>
      </w:r>
      <w:r w:rsidRPr="001A1A5A">
        <w:rPr>
          <w:lang w:val="fr-CA"/>
        </w:rPr>
        <w:t xml:space="preserve">% avec </w:t>
      </w:r>
      <w:r w:rsidR="00BE429E">
        <w:rPr>
          <w:lang w:val="fr-CA"/>
        </w:rPr>
        <w:t>le mi</w:t>
      </w:r>
      <w:r w:rsidR="009F48D2">
        <w:rPr>
          <w:lang w:val="fr-CA"/>
        </w:rPr>
        <w:t>lieu</w:t>
      </w:r>
      <w:r w:rsidRPr="001A1A5A">
        <w:rPr>
          <w:lang w:val="fr-CA"/>
        </w:rPr>
        <w:t xml:space="preserve"> environ</w:t>
      </w:r>
      <w:r w:rsidR="009F48D2">
        <w:rPr>
          <w:lang w:val="fr-CA"/>
        </w:rPr>
        <w:t>nant</w:t>
      </w:r>
      <w:r w:rsidRPr="001A1A5A">
        <w:rPr>
          <w:lang w:val="fr-CA"/>
        </w:rPr>
        <w:t>, y compris les éléments de montage comme le poteau</w:t>
      </w:r>
      <w:r w:rsidR="000D701D">
        <w:rPr>
          <w:lang w:val="fr-CA"/>
        </w:rPr>
        <w:t>; et</w:t>
      </w:r>
    </w:p>
    <w:p w14:paraId="127C137C" w14:textId="7F1D0B78" w:rsidR="001A1A5A" w:rsidRPr="001A1A5A" w:rsidRDefault="009F7573" w:rsidP="009F7573">
      <w:pPr>
        <w:pStyle w:val="ListParagraph"/>
        <w:ind w:left="1066"/>
        <w:rPr>
          <w:lang w:val="fr-CA"/>
        </w:rPr>
      </w:pPr>
      <w:r w:rsidRPr="009C609A">
        <w:rPr>
          <w:b/>
          <w:bCs/>
          <w:lang w:val="fr-CA"/>
        </w:rPr>
        <w:t>Remarque</w:t>
      </w:r>
      <w:r>
        <w:rPr>
          <w:lang w:val="fr-CA"/>
        </w:rPr>
        <w:t xml:space="preserve"> : </w:t>
      </w:r>
      <w:r w:rsidR="00B95A82">
        <w:rPr>
          <w:lang w:val="fr-CA"/>
        </w:rPr>
        <w:t>Des e</w:t>
      </w:r>
      <w:r w:rsidR="001A1A5A" w:rsidRPr="001A1A5A">
        <w:rPr>
          <w:lang w:val="fr-CA"/>
        </w:rPr>
        <w:t xml:space="preserve">xemples </w:t>
      </w:r>
      <w:r w:rsidR="00686692">
        <w:rPr>
          <w:lang w:val="fr-CA"/>
        </w:rPr>
        <w:t xml:space="preserve">incluent des </w:t>
      </w:r>
      <w:r w:rsidR="001A1A5A" w:rsidRPr="001A1A5A">
        <w:rPr>
          <w:lang w:val="fr-CA"/>
        </w:rPr>
        <w:t xml:space="preserve">panneaux indiquant les types de stationnement ou les </w:t>
      </w:r>
      <w:r w:rsidR="00DC238E">
        <w:rPr>
          <w:lang w:val="fr-CA"/>
        </w:rPr>
        <w:t>espaces</w:t>
      </w:r>
      <w:r w:rsidR="00EC573B">
        <w:rPr>
          <w:lang w:val="fr-CA"/>
        </w:rPr>
        <w:t xml:space="preserve"> </w:t>
      </w:r>
      <w:r w:rsidR="00300A5B">
        <w:rPr>
          <w:lang w:val="fr-CA"/>
        </w:rPr>
        <w:t>de stationnement</w:t>
      </w:r>
      <w:r w:rsidR="001A1A5A" w:rsidRPr="001A1A5A">
        <w:rPr>
          <w:lang w:val="fr-CA"/>
        </w:rPr>
        <w:t xml:space="preserve"> </w:t>
      </w:r>
      <w:r w:rsidR="00EC573B">
        <w:rPr>
          <w:lang w:val="fr-CA"/>
        </w:rPr>
        <w:t>accessib</w:t>
      </w:r>
      <w:r w:rsidR="00300A5B">
        <w:rPr>
          <w:lang w:val="fr-CA"/>
        </w:rPr>
        <w:t>les</w:t>
      </w:r>
      <w:r w:rsidR="003C478F">
        <w:rPr>
          <w:lang w:val="fr-CA"/>
        </w:rPr>
        <w:t xml:space="preserve"> et les p</w:t>
      </w:r>
      <w:r w:rsidR="001A1A5A" w:rsidRPr="001A1A5A">
        <w:rPr>
          <w:lang w:val="fr-CA"/>
        </w:rPr>
        <w:t>anneaux pour les instructions de paiement du stationnement.</w:t>
      </w:r>
    </w:p>
    <w:p w14:paraId="3D04439B" w14:textId="29207134" w:rsidR="001A1A5A" w:rsidRPr="001A1A5A" w:rsidRDefault="001A1A5A" w:rsidP="003F66F0">
      <w:pPr>
        <w:pStyle w:val="ListParagraph"/>
        <w:numPr>
          <w:ilvl w:val="0"/>
          <w:numId w:val="79"/>
        </w:numPr>
        <w:rPr>
          <w:lang w:val="fr-CA"/>
        </w:rPr>
      </w:pPr>
      <w:proofErr w:type="gramStart"/>
      <w:r w:rsidRPr="001A1A5A">
        <w:rPr>
          <w:lang w:val="fr-CA"/>
        </w:rPr>
        <w:t>être</w:t>
      </w:r>
      <w:proofErr w:type="gramEnd"/>
      <w:r w:rsidRPr="001A1A5A">
        <w:rPr>
          <w:lang w:val="fr-CA"/>
        </w:rPr>
        <w:t xml:space="preserve"> détectable par la canne, stable et solidement </w:t>
      </w:r>
      <w:r w:rsidR="00A83A93">
        <w:rPr>
          <w:lang w:val="fr-CA"/>
        </w:rPr>
        <w:t>fix</w:t>
      </w:r>
      <w:r w:rsidR="00A83A93">
        <w:rPr>
          <w:rFonts w:cs="Arial"/>
          <w:lang w:val="fr-CA"/>
        </w:rPr>
        <w:t>é</w:t>
      </w:r>
      <w:r w:rsidR="00A83A93">
        <w:rPr>
          <w:lang w:val="fr-CA"/>
        </w:rPr>
        <w:t xml:space="preserve">s </w:t>
      </w:r>
      <w:r w:rsidRPr="001A1A5A">
        <w:rPr>
          <w:lang w:val="fr-CA"/>
        </w:rPr>
        <w:t xml:space="preserve">pour les </w:t>
      </w:r>
      <w:r w:rsidR="00A83A93">
        <w:rPr>
          <w:lang w:val="fr-CA"/>
        </w:rPr>
        <w:t>panneaux</w:t>
      </w:r>
      <w:r w:rsidRPr="001A1A5A">
        <w:rPr>
          <w:lang w:val="fr-CA"/>
        </w:rPr>
        <w:t xml:space="preserve"> temporaires;</w:t>
      </w:r>
    </w:p>
    <w:p w14:paraId="67A256B1" w14:textId="6C30FB65" w:rsidR="001A1A5A" w:rsidRPr="001A1A5A" w:rsidRDefault="00966D36" w:rsidP="003F66F0">
      <w:pPr>
        <w:pStyle w:val="ListParagraph"/>
        <w:numPr>
          <w:ilvl w:val="0"/>
          <w:numId w:val="79"/>
        </w:numPr>
        <w:rPr>
          <w:lang w:val="fr-CA"/>
        </w:rPr>
      </w:pPr>
      <w:proofErr w:type="gramStart"/>
      <w:r>
        <w:rPr>
          <w:lang w:val="fr-CA"/>
        </w:rPr>
        <w:t>p</w:t>
      </w:r>
      <w:r w:rsidR="001A1A5A" w:rsidRPr="001A1A5A">
        <w:rPr>
          <w:lang w:val="fr-CA"/>
        </w:rPr>
        <w:t>our</w:t>
      </w:r>
      <w:proofErr w:type="gramEnd"/>
      <w:r w:rsidR="001A1A5A" w:rsidRPr="001A1A5A">
        <w:rPr>
          <w:lang w:val="fr-CA"/>
        </w:rPr>
        <w:t xml:space="preserve"> un </w:t>
      </w:r>
      <w:r w:rsidR="00DC238E">
        <w:rPr>
          <w:lang w:val="fr-CA"/>
        </w:rPr>
        <w:t>espace</w:t>
      </w:r>
      <w:r w:rsidR="001A1A5A" w:rsidRPr="001A1A5A">
        <w:rPr>
          <w:lang w:val="fr-CA"/>
        </w:rPr>
        <w:t xml:space="preserve"> de stationnement accessible désigné</w:t>
      </w:r>
      <w:r w:rsidR="001C5600">
        <w:rPr>
          <w:lang w:val="fr-CA"/>
        </w:rPr>
        <w:t> </w:t>
      </w:r>
      <w:r w:rsidR="001A1A5A" w:rsidRPr="001A1A5A">
        <w:rPr>
          <w:lang w:val="fr-CA"/>
        </w:rPr>
        <w:t>:</w:t>
      </w:r>
    </w:p>
    <w:p w14:paraId="59E4A5C8" w14:textId="0162D983" w:rsidR="001A1A5A" w:rsidRPr="001A1A5A" w:rsidRDefault="001A1A5A" w:rsidP="003F66F0">
      <w:pPr>
        <w:pStyle w:val="ListParagraph"/>
        <w:numPr>
          <w:ilvl w:val="1"/>
          <w:numId w:val="79"/>
        </w:numPr>
        <w:rPr>
          <w:lang w:val="fr-CA"/>
        </w:rPr>
      </w:pPr>
      <w:proofErr w:type="gramStart"/>
      <w:r w:rsidRPr="001A1A5A">
        <w:rPr>
          <w:lang w:val="fr-CA"/>
        </w:rPr>
        <w:lastRenderedPageBreak/>
        <w:t>être</w:t>
      </w:r>
      <w:proofErr w:type="gramEnd"/>
      <w:r w:rsidRPr="001A1A5A">
        <w:rPr>
          <w:lang w:val="fr-CA"/>
        </w:rPr>
        <w:t xml:space="preserve"> identifié par un panneau monté verticalement qui</w:t>
      </w:r>
      <w:r w:rsidR="001C5600">
        <w:rPr>
          <w:lang w:val="fr-CA"/>
        </w:rPr>
        <w:t> </w:t>
      </w:r>
      <w:r w:rsidRPr="001A1A5A">
        <w:rPr>
          <w:lang w:val="fr-CA"/>
        </w:rPr>
        <w:t>:</w:t>
      </w:r>
    </w:p>
    <w:p w14:paraId="33B8CF8F" w14:textId="2703908C" w:rsidR="001A1A5A" w:rsidRPr="001A1A5A" w:rsidRDefault="001A1A5A" w:rsidP="003F66F0">
      <w:pPr>
        <w:pStyle w:val="ListParagraph"/>
        <w:numPr>
          <w:ilvl w:val="2"/>
          <w:numId w:val="79"/>
        </w:numPr>
        <w:rPr>
          <w:lang w:val="fr-CA"/>
        </w:rPr>
      </w:pPr>
      <w:proofErr w:type="gramStart"/>
      <w:r w:rsidRPr="001A1A5A">
        <w:rPr>
          <w:lang w:val="fr-CA"/>
        </w:rPr>
        <w:t>mesure</w:t>
      </w:r>
      <w:proofErr w:type="gramEnd"/>
      <w:r w:rsidRPr="001A1A5A">
        <w:rPr>
          <w:lang w:val="fr-CA"/>
        </w:rPr>
        <w:t xml:space="preserve"> au moins 300</w:t>
      </w:r>
      <w:r w:rsidR="003B2C52">
        <w:rPr>
          <w:lang w:val="fr-CA"/>
        </w:rPr>
        <w:t> </w:t>
      </w:r>
      <w:r w:rsidRPr="001A1A5A">
        <w:rPr>
          <w:lang w:val="fr-CA"/>
        </w:rPr>
        <w:t>mm de large sur 450</w:t>
      </w:r>
      <w:r w:rsidR="003B2C52">
        <w:rPr>
          <w:lang w:val="fr-CA"/>
        </w:rPr>
        <w:t> </w:t>
      </w:r>
      <w:r w:rsidRPr="001A1A5A">
        <w:rPr>
          <w:lang w:val="fr-CA"/>
        </w:rPr>
        <w:t>mm de haut;</w:t>
      </w:r>
    </w:p>
    <w:p w14:paraId="53FF7BFC" w14:textId="2B0666BE" w:rsidR="001A1A5A" w:rsidRPr="001A1A5A" w:rsidRDefault="00D978A9" w:rsidP="003F66F0">
      <w:pPr>
        <w:pStyle w:val="ListParagraph"/>
        <w:numPr>
          <w:ilvl w:val="2"/>
          <w:numId w:val="79"/>
        </w:numPr>
        <w:rPr>
          <w:lang w:val="fr-CA"/>
        </w:rPr>
      </w:pPr>
      <w:proofErr w:type="gramStart"/>
      <w:r>
        <w:rPr>
          <w:lang w:val="fr-CA"/>
        </w:rPr>
        <w:t>a</w:t>
      </w:r>
      <w:proofErr w:type="gramEnd"/>
      <w:r>
        <w:rPr>
          <w:lang w:val="fr-CA"/>
        </w:rPr>
        <w:t xml:space="preserve"> </w:t>
      </w:r>
      <w:r w:rsidR="001A1A5A" w:rsidRPr="001A1A5A">
        <w:rPr>
          <w:lang w:val="fr-CA"/>
        </w:rPr>
        <w:t>le centre du panneau entre 1500 et 2000</w:t>
      </w:r>
      <w:r w:rsidR="003B2C52">
        <w:rPr>
          <w:lang w:val="fr-CA"/>
        </w:rPr>
        <w:t> </w:t>
      </w:r>
      <w:r w:rsidR="001A1A5A" w:rsidRPr="001A1A5A">
        <w:rPr>
          <w:lang w:val="fr-CA"/>
        </w:rPr>
        <w:t>mm du sol; et</w:t>
      </w:r>
    </w:p>
    <w:p w14:paraId="0B4466FD" w14:textId="3CAA7CC7" w:rsidR="001A1A5A" w:rsidRPr="001A1A5A" w:rsidRDefault="001A1A5A" w:rsidP="003F66F0">
      <w:pPr>
        <w:pStyle w:val="ListParagraph"/>
        <w:numPr>
          <w:ilvl w:val="2"/>
          <w:numId w:val="79"/>
        </w:numPr>
        <w:rPr>
          <w:lang w:val="fr-CA"/>
        </w:rPr>
      </w:pPr>
      <w:proofErr w:type="gramStart"/>
      <w:r w:rsidRPr="001A1A5A">
        <w:rPr>
          <w:lang w:val="fr-CA"/>
        </w:rPr>
        <w:t>intègre</w:t>
      </w:r>
      <w:proofErr w:type="gramEnd"/>
      <w:r w:rsidRPr="001A1A5A">
        <w:rPr>
          <w:lang w:val="fr-CA"/>
        </w:rPr>
        <w:t xml:space="preserve"> le </w:t>
      </w:r>
      <w:r w:rsidR="00C66479">
        <w:rPr>
          <w:lang w:val="fr-CA"/>
        </w:rPr>
        <w:t>symbole</w:t>
      </w:r>
      <w:r w:rsidR="00464981">
        <w:rPr>
          <w:lang w:val="fr-CA"/>
        </w:rPr>
        <w:t xml:space="preserve"> international d’</w:t>
      </w:r>
      <w:r w:rsidR="00F85063">
        <w:rPr>
          <w:lang w:val="fr-CA"/>
        </w:rPr>
        <w:t>accessibilité</w:t>
      </w:r>
      <w:r w:rsidR="007122B1">
        <w:rPr>
          <w:lang w:val="fr-CA"/>
        </w:rPr>
        <w:t>; et</w:t>
      </w:r>
    </w:p>
    <w:p w14:paraId="5A2FB5BA" w14:textId="3AECF7F6" w:rsidR="001A1A5A" w:rsidRPr="00C66479" w:rsidRDefault="001A1A5A" w:rsidP="003F66F0">
      <w:pPr>
        <w:pStyle w:val="ListParagraph"/>
        <w:numPr>
          <w:ilvl w:val="1"/>
          <w:numId w:val="79"/>
        </w:numPr>
        <w:rPr>
          <w:lang w:val="fr-CA"/>
        </w:rPr>
      </w:pPr>
      <w:proofErr w:type="gramStart"/>
      <w:r w:rsidRPr="001A1A5A">
        <w:rPr>
          <w:lang w:val="fr-CA"/>
        </w:rPr>
        <w:t>une</w:t>
      </w:r>
      <w:proofErr w:type="gramEnd"/>
      <w:r w:rsidRPr="001A1A5A">
        <w:rPr>
          <w:lang w:val="fr-CA"/>
        </w:rPr>
        <w:t xml:space="preserve"> fois pavée, faire peindre le </w:t>
      </w:r>
      <w:r w:rsidR="00C66479">
        <w:rPr>
          <w:lang w:val="fr-CA"/>
        </w:rPr>
        <w:t>symbole international d’accessibilité</w:t>
      </w:r>
      <w:r w:rsidR="00A04BDB" w:rsidRPr="00C66479">
        <w:rPr>
          <w:lang w:val="fr-CA"/>
        </w:rPr>
        <w:t xml:space="preserve"> </w:t>
      </w:r>
      <w:r w:rsidRPr="00C66479">
        <w:rPr>
          <w:lang w:val="fr-CA"/>
        </w:rPr>
        <w:t>sur l</w:t>
      </w:r>
      <w:r w:rsidR="00C33613" w:rsidRPr="00C66479">
        <w:rPr>
          <w:lang w:val="fr-CA"/>
        </w:rPr>
        <w:t>a chaussée</w:t>
      </w:r>
      <w:r w:rsidRPr="00C66479">
        <w:rPr>
          <w:lang w:val="fr-CA"/>
        </w:rPr>
        <w:t>, c</w:t>
      </w:r>
      <w:r w:rsidR="009E20CA">
        <w:rPr>
          <w:lang w:val="fr-CA"/>
        </w:rPr>
        <w:t>’</w:t>
      </w:r>
      <w:r w:rsidRPr="00C66479">
        <w:rPr>
          <w:lang w:val="fr-CA"/>
        </w:rPr>
        <w:t>est-à-dire</w:t>
      </w:r>
      <w:r w:rsidR="001C5600">
        <w:rPr>
          <w:lang w:val="fr-CA"/>
        </w:rPr>
        <w:t> </w:t>
      </w:r>
      <w:r w:rsidRPr="00C66479">
        <w:rPr>
          <w:lang w:val="fr-CA"/>
        </w:rPr>
        <w:t>:</w:t>
      </w:r>
    </w:p>
    <w:p w14:paraId="735B74C9" w14:textId="324442EA" w:rsidR="001A1A5A" w:rsidRPr="001A1A5A" w:rsidRDefault="001A1A5A" w:rsidP="003F66F0">
      <w:pPr>
        <w:pStyle w:val="ListParagraph"/>
        <w:numPr>
          <w:ilvl w:val="2"/>
          <w:numId w:val="79"/>
        </w:numPr>
        <w:rPr>
          <w:lang w:val="fr-CA"/>
        </w:rPr>
      </w:pPr>
      <w:proofErr w:type="gramStart"/>
      <w:r w:rsidRPr="001A1A5A">
        <w:rPr>
          <w:lang w:val="fr-CA"/>
        </w:rPr>
        <w:t>au</w:t>
      </w:r>
      <w:proofErr w:type="gramEnd"/>
      <w:r w:rsidRPr="001A1A5A">
        <w:rPr>
          <w:lang w:val="fr-CA"/>
        </w:rPr>
        <w:t xml:space="preserve"> moins 1000</w:t>
      </w:r>
      <w:r w:rsidR="003B2C52">
        <w:rPr>
          <w:lang w:val="fr-CA"/>
        </w:rPr>
        <w:t> </w:t>
      </w:r>
      <w:r w:rsidRPr="001A1A5A">
        <w:rPr>
          <w:lang w:val="fr-CA"/>
        </w:rPr>
        <w:t>mm de long; et</w:t>
      </w:r>
    </w:p>
    <w:p w14:paraId="3F5BEFAB" w14:textId="40EEF8D2" w:rsidR="00091467" w:rsidRDefault="00AD6644" w:rsidP="003F66F0">
      <w:pPr>
        <w:pStyle w:val="ListParagraph"/>
        <w:numPr>
          <w:ilvl w:val="2"/>
          <w:numId w:val="79"/>
        </w:numPr>
        <w:rPr>
          <w:lang w:val="fr-CA"/>
        </w:rPr>
      </w:pPr>
      <w:proofErr w:type="gramStart"/>
      <w:r>
        <w:rPr>
          <w:lang w:val="fr-CA"/>
        </w:rPr>
        <w:t>l</w:t>
      </w:r>
      <w:r w:rsidR="001A1A5A" w:rsidRPr="001A1A5A">
        <w:rPr>
          <w:lang w:val="fr-CA"/>
        </w:rPr>
        <w:t>a</w:t>
      </w:r>
      <w:proofErr w:type="gramEnd"/>
      <w:r w:rsidR="001A1A5A" w:rsidRPr="001A1A5A">
        <w:rPr>
          <w:lang w:val="fr-CA"/>
        </w:rPr>
        <w:t xml:space="preserve"> luminance (couleur) contras</w:t>
      </w:r>
      <w:r w:rsidR="00FD04F7">
        <w:rPr>
          <w:lang w:val="fr-CA"/>
        </w:rPr>
        <w:t xml:space="preserve">tant </w:t>
      </w:r>
      <w:r w:rsidR="001A1A5A" w:rsidRPr="001A1A5A">
        <w:rPr>
          <w:lang w:val="fr-CA"/>
        </w:rPr>
        <w:t>avec l</w:t>
      </w:r>
      <w:r w:rsidR="009E20CA">
        <w:rPr>
          <w:lang w:val="fr-CA"/>
        </w:rPr>
        <w:t>’</w:t>
      </w:r>
      <w:r w:rsidR="001A1A5A" w:rsidRPr="001A1A5A">
        <w:rPr>
          <w:lang w:val="fr-CA"/>
        </w:rPr>
        <w:t>arrière-plan d</w:t>
      </w:r>
      <w:r w:rsidR="00D02286">
        <w:rPr>
          <w:lang w:val="fr-CA"/>
        </w:rPr>
        <w:t>e la</w:t>
      </w:r>
      <w:r w:rsidR="001A1A5A" w:rsidRPr="001A1A5A">
        <w:rPr>
          <w:lang w:val="fr-CA"/>
        </w:rPr>
        <w:t xml:space="preserve"> </w:t>
      </w:r>
      <w:r w:rsidR="00674597">
        <w:rPr>
          <w:lang w:val="fr-CA"/>
        </w:rPr>
        <w:t>chaussée</w:t>
      </w:r>
      <w:r w:rsidR="00AB2171">
        <w:rPr>
          <w:lang w:val="fr-CA"/>
        </w:rPr>
        <w:t xml:space="preserve"> </w:t>
      </w:r>
      <w:r w:rsidR="00AB2171" w:rsidRPr="001A1A5A">
        <w:rPr>
          <w:lang w:val="fr-CA"/>
        </w:rPr>
        <w:t>d</w:t>
      </w:r>
      <w:r w:rsidR="009E20CA">
        <w:rPr>
          <w:lang w:val="fr-CA"/>
        </w:rPr>
        <w:t>’</w:t>
      </w:r>
      <w:r w:rsidR="00AB2171" w:rsidRPr="001A1A5A">
        <w:rPr>
          <w:lang w:val="fr-CA"/>
        </w:rPr>
        <w:t>au moins 70</w:t>
      </w:r>
      <w:r w:rsidR="00D8285E">
        <w:rPr>
          <w:lang w:val="fr-CA"/>
        </w:rPr>
        <w:t> </w:t>
      </w:r>
      <w:r w:rsidR="00AB2171" w:rsidRPr="001A1A5A">
        <w:rPr>
          <w:lang w:val="fr-CA"/>
        </w:rPr>
        <w:t>%</w:t>
      </w:r>
      <w:r w:rsidR="00AB2171">
        <w:rPr>
          <w:lang w:val="fr-CA"/>
        </w:rPr>
        <w:t>; et</w:t>
      </w:r>
    </w:p>
    <w:p w14:paraId="575CD5CB" w14:textId="31EE451E" w:rsidR="002278F2" w:rsidRDefault="001A1A5A" w:rsidP="003F66F0">
      <w:pPr>
        <w:pStyle w:val="ListParagraph"/>
        <w:numPr>
          <w:ilvl w:val="0"/>
          <w:numId w:val="79"/>
        </w:numPr>
        <w:rPr>
          <w:lang w:val="fr-CA"/>
        </w:rPr>
      </w:pPr>
      <w:proofErr w:type="gramStart"/>
      <w:r w:rsidRPr="00091467">
        <w:rPr>
          <w:lang w:val="fr-CA"/>
        </w:rPr>
        <w:t>pour</w:t>
      </w:r>
      <w:proofErr w:type="gramEnd"/>
      <w:r w:rsidRPr="00091467">
        <w:rPr>
          <w:lang w:val="fr-CA"/>
        </w:rPr>
        <w:t xml:space="preserve"> la signalisation numérique ou électronique, </w:t>
      </w:r>
      <w:r w:rsidR="00A965FC">
        <w:rPr>
          <w:lang w:val="fr-CA"/>
        </w:rPr>
        <w:t>veiller</w:t>
      </w:r>
      <w:r w:rsidR="008267BC">
        <w:rPr>
          <w:lang w:val="fr-CA"/>
        </w:rPr>
        <w:t xml:space="preserve"> </w:t>
      </w:r>
      <w:r w:rsidR="009F4A33">
        <w:rPr>
          <w:lang w:val="fr-CA"/>
        </w:rPr>
        <w:t>à</w:t>
      </w:r>
      <w:r w:rsidR="008267BC">
        <w:rPr>
          <w:lang w:val="fr-CA"/>
        </w:rPr>
        <w:t xml:space="preserve"> la conformité</w:t>
      </w:r>
      <w:r w:rsidRPr="00091467">
        <w:rPr>
          <w:lang w:val="fr-CA"/>
        </w:rPr>
        <w:t xml:space="preserve"> </w:t>
      </w:r>
      <w:r w:rsidR="008267BC">
        <w:rPr>
          <w:lang w:val="fr-CA"/>
        </w:rPr>
        <w:t>de l’article</w:t>
      </w:r>
      <w:r w:rsidRPr="00091467">
        <w:rPr>
          <w:lang w:val="fr-CA"/>
        </w:rPr>
        <w:t xml:space="preserve"> </w:t>
      </w:r>
      <w:r>
        <w:fldChar w:fldCharType="begin"/>
      </w:r>
      <w:r w:rsidRPr="007C0FBA">
        <w:rPr>
          <w:lang w:val="fr-CA"/>
        </w:rPr>
        <w:instrText>HYPERLINK \l "_Signalisation_électronique_et"</w:instrText>
      </w:r>
      <w:r>
        <w:fldChar w:fldCharType="separate"/>
      </w:r>
      <w:r w:rsidRPr="00DF2A47">
        <w:rPr>
          <w:rStyle w:val="Hyperlink"/>
          <w:lang w:val="fr-CA"/>
        </w:rPr>
        <w:t>1</w:t>
      </w:r>
      <w:r w:rsidR="009F4A33" w:rsidRPr="00DF2A47">
        <w:rPr>
          <w:rStyle w:val="Hyperlink"/>
          <w:lang w:val="fr-CA"/>
        </w:rPr>
        <w:t>2</w:t>
      </w:r>
      <w:r w:rsidRPr="00DF2A47">
        <w:rPr>
          <w:rStyle w:val="Hyperlink"/>
          <w:lang w:val="fr-CA"/>
        </w:rPr>
        <w:t>.11</w:t>
      </w:r>
      <w:r>
        <w:fldChar w:fldCharType="end"/>
      </w:r>
      <w:r w:rsidRPr="00091467">
        <w:rPr>
          <w:lang w:val="fr-CA"/>
        </w:rPr>
        <w:t xml:space="preserve">, y compris les exigences de clarté </w:t>
      </w:r>
      <w:r w:rsidRPr="002278F2">
        <w:rPr>
          <w:lang w:val="fr-CA"/>
        </w:rPr>
        <w:t>visuelle, d</w:t>
      </w:r>
      <w:r w:rsidR="009E20CA">
        <w:rPr>
          <w:lang w:val="fr-CA"/>
        </w:rPr>
        <w:t>’</w:t>
      </w:r>
      <w:r w:rsidRPr="002278F2">
        <w:rPr>
          <w:lang w:val="fr-CA"/>
        </w:rPr>
        <w:t>accessibilité du contenu audio, de contraste d</w:t>
      </w:r>
      <w:r w:rsidR="009E20CA">
        <w:rPr>
          <w:lang w:val="fr-CA"/>
        </w:rPr>
        <w:t>’</w:t>
      </w:r>
      <w:r w:rsidRPr="002278F2">
        <w:rPr>
          <w:lang w:val="fr-CA"/>
        </w:rPr>
        <w:t>écran et d</w:t>
      </w:r>
      <w:r w:rsidR="009E20CA">
        <w:rPr>
          <w:lang w:val="fr-CA"/>
        </w:rPr>
        <w:t>’</w:t>
      </w:r>
      <w:r w:rsidRPr="002278F2">
        <w:rPr>
          <w:lang w:val="fr-CA"/>
        </w:rPr>
        <w:t>éléments non clignotants.</w:t>
      </w:r>
    </w:p>
    <w:p w14:paraId="49DB0E0A" w14:textId="6607E158" w:rsidR="007F4A04" w:rsidRPr="002278F2" w:rsidRDefault="000260C5" w:rsidP="002278F2">
      <w:pPr>
        <w:pStyle w:val="Heading3"/>
        <w:rPr>
          <w:lang w:val="fr-CA"/>
        </w:rPr>
      </w:pPr>
      <w:bookmarkStart w:id="625" w:name="_Toc219706221"/>
      <w:proofErr w:type="spellStart"/>
      <w:r w:rsidRPr="002278F2">
        <w:t>Panneaux</w:t>
      </w:r>
      <w:proofErr w:type="spellEnd"/>
      <w:r w:rsidRPr="002278F2">
        <w:t xml:space="preserve"> pour </w:t>
      </w:r>
      <w:proofErr w:type="spellStart"/>
      <w:r w:rsidRPr="002278F2">
        <w:t>espaces</w:t>
      </w:r>
      <w:proofErr w:type="spellEnd"/>
      <w:r w:rsidRPr="002278F2">
        <w:t xml:space="preserve"> </w:t>
      </w:r>
      <w:proofErr w:type="spellStart"/>
      <w:r w:rsidRPr="002278F2">
        <w:t>extérieurs</w:t>
      </w:r>
      <w:bookmarkEnd w:id="625"/>
      <w:proofErr w:type="spellEnd"/>
    </w:p>
    <w:p w14:paraId="501CBE83" w14:textId="5B303E83" w:rsidR="0088005D" w:rsidRPr="001B23FA" w:rsidRDefault="0088005D" w:rsidP="0088005D">
      <w:pPr>
        <w:pStyle w:val="ListRef"/>
        <w:ind w:left="0" w:firstLine="0"/>
        <w:rPr>
          <w:lang w:val="fr-CA"/>
        </w:rPr>
      </w:pPr>
      <w:r w:rsidRPr="001B23FA">
        <w:rPr>
          <w:lang w:val="fr-CA"/>
        </w:rPr>
        <w:t>Des panneaux de</w:t>
      </w:r>
      <w:r w:rsidR="00535097">
        <w:rPr>
          <w:lang w:val="fr-CA"/>
        </w:rPr>
        <w:t xml:space="preserve"> points de</w:t>
      </w:r>
      <w:r w:rsidRPr="001B23FA">
        <w:rPr>
          <w:lang w:val="fr-CA"/>
        </w:rPr>
        <w:t xml:space="preserve"> départ de sentier dans les espaces extérieurs doivent être installés au début des sentiers et partout où les conditions du sentier changent significativement, incluant</w:t>
      </w:r>
      <w:r w:rsidR="001C5600">
        <w:rPr>
          <w:lang w:val="fr-CA"/>
        </w:rPr>
        <w:t> </w:t>
      </w:r>
      <w:r w:rsidRPr="001B23FA">
        <w:rPr>
          <w:lang w:val="fr-CA"/>
        </w:rPr>
        <w:t>:</w:t>
      </w:r>
    </w:p>
    <w:p w14:paraId="106EAD39" w14:textId="77777777" w:rsidR="00F46677" w:rsidRPr="001B23FA" w:rsidRDefault="00C50EFB" w:rsidP="003F66F0">
      <w:pPr>
        <w:pStyle w:val="ListRef"/>
        <w:numPr>
          <w:ilvl w:val="0"/>
          <w:numId w:val="43"/>
        </w:numPr>
        <w:rPr>
          <w:lang w:val="fr-CA"/>
        </w:rPr>
      </w:pPr>
      <w:proofErr w:type="gramStart"/>
      <w:r w:rsidRPr="001B23FA">
        <w:rPr>
          <w:lang w:val="fr-CA"/>
        </w:rPr>
        <w:t>la</w:t>
      </w:r>
      <w:proofErr w:type="gramEnd"/>
      <w:r w:rsidRPr="001B23FA">
        <w:rPr>
          <w:lang w:val="fr-CA"/>
        </w:rPr>
        <w:t xml:space="preserve"> longueur ou la distance du sentier ou du segment de sentier;</w:t>
      </w:r>
    </w:p>
    <w:p w14:paraId="19624668" w14:textId="049BC8AE" w:rsidR="00F46677" w:rsidRPr="001B23FA" w:rsidRDefault="00D0509D" w:rsidP="003F66F0">
      <w:pPr>
        <w:pStyle w:val="ListRef"/>
        <w:numPr>
          <w:ilvl w:val="0"/>
          <w:numId w:val="43"/>
        </w:numPr>
        <w:rPr>
          <w:lang w:val="fr-CA"/>
        </w:rPr>
      </w:pPr>
      <w:proofErr w:type="gramStart"/>
      <w:r>
        <w:rPr>
          <w:lang w:val="fr-CA"/>
        </w:rPr>
        <w:t>la</w:t>
      </w:r>
      <w:proofErr w:type="gramEnd"/>
      <w:r>
        <w:rPr>
          <w:lang w:val="fr-CA"/>
        </w:rPr>
        <w:t xml:space="preserve"> </w:t>
      </w:r>
      <w:r w:rsidR="00C50EFB" w:rsidRPr="001B23FA">
        <w:rPr>
          <w:lang w:val="fr-CA"/>
        </w:rPr>
        <w:t xml:space="preserve">pente </w:t>
      </w:r>
      <w:r w:rsidR="00033CBD">
        <w:rPr>
          <w:lang w:val="fr-CA"/>
        </w:rPr>
        <w:t>longitudi</w:t>
      </w:r>
      <w:r w:rsidR="00115698">
        <w:rPr>
          <w:lang w:val="fr-CA"/>
        </w:rPr>
        <w:t xml:space="preserve">nale et transversale </w:t>
      </w:r>
      <w:r w:rsidR="00C50EFB" w:rsidRPr="001B23FA">
        <w:rPr>
          <w:lang w:val="fr-CA"/>
        </w:rPr>
        <w:t>maximale et typique;</w:t>
      </w:r>
    </w:p>
    <w:p w14:paraId="161F71E2" w14:textId="49B2250C" w:rsidR="00F46677" w:rsidRPr="001B23FA" w:rsidRDefault="00D0509D" w:rsidP="003F66F0">
      <w:pPr>
        <w:pStyle w:val="ListRef"/>
        <w:numPr>
          <w:ilvl w:val="0"/>
          <w:numId w:val="43"/>
        </w:numPr>
        <w:rPr>
          <w:lang w:val="fr-CA"/>
        </w:rPr>
      </w:pPr>
      <w:proofErr w:type="gramStart"/>
      <w:r>
        <w:rPr>
          <w:lang w:val="fr-CA"/>
        </w:rPr>
        <w:t>le</w:t>
      </w:r>
      <w:proofErr w:type="gramEnd"/>
      <w:r>
        <w:rPr>
          <w:lang w:val="fr-CA"/>
        </w:rPr>
        <w:t xml:space="preserve"> </w:t>
      </w:r>
      <w:r w:rsidR="00C50EFB" w:rsidRPr="001B23FA">
        <w:rPr>
          <w:lang w:val="fr-CA"/>
        </w:rPr>
        <w:t>type de surface, fermeté et stabilité;</w:t>
      </w:r>
    </w:p>
    <w:p w14:paraId="6A0991F9" w14:textId="1766990E" w:rsidR="00F46677" w:rsidRPr="001B23FA" w:rsidRDefault="00C50EFB" w:rsidP="003F66F0">
      <w:pPr>
        <w:pStyle w:val="ListRef"/>
        <w:numPr>
          <w:ilvl w:val="0"/>
          <w:numId w:val="43"/>
        </w:numPr>
        <w:rPr>
          <w:lang w:val="fr-CA"/>
        </w:rPr>
      </w:pPr>
      <w:proofErr w:type="gramStart"/>
      <w:r w:rsidRPr="001B23FA">
        <w:rPr>
          <w:lang w:val="fr-CA"/>
        </w:rPr>
        <w:t>la</w:t>
      </w:r>
      <w:proofErr w:type="gramEnd"/>
      <w:r w:rsidRPr="001B23FA">
        <w:rPr>
          <w:lang w:val="fr-CA"/>
        </w:rPr>
        <w:t xml:space="preserve"> présence d</w:t>
      </w:r>
      <w:r w:rsidR="009E20CA">
        <w:rPr>
          <w:lang w:val="fr-CA"/>
        </w:rPr>
        <w:t>’</w:t>
      </w:r>
      <w:r w:rsidRPr="001B23FA">
        <w:rPr>
          <w:lang w:val="fr-CA"/>
        </w:rPr>
        <w:t>obstacles (y compris les escaliers) ou de dangers; et</w:t>
      </w:r>
    </w:p>
    <w:p w14:paraId="5172D50D" w14:textId="4391DC72" w:rsidR="00C50EFB" w:rsidRPr="001B23FA" w:rsidRDefault="00051AF2" w:rsidP="003F66F0">
      <w:pPr>
        <w:pStyle w:val="ListRef"/>
        <w:numPr>
          <w:ilvl w:val="0"/>
          <w:numId w:val="43"/>
        </w:numPr>
        <w:rPr>
          <w:lang w:val="fr-CA"/>
        </w:rPr>
      </w:pPr>
      <w:proofErr w:type="gramStart"/>
      <w:r>
        <w:rPr>
          <w:lang w:val="fr-CA"/>
        </w:rPr>
        <w:t>la</w:t>
      </w:r>
      <w:proofErr w:type="gramEnd"/>
      <w:r>
        <w:rPr>
          <w:lang w:val="fr-CA"/>
        </w:rPr>
        <w:t xml:space="preserve"> l</w:t>
      </w:r>
      <w:r w:rsidR="00C50EFB" w:rsidRPr="001B23FA">
        <w:rPr>
          <w:lang w:val="fr-CA"/>
        </w:rPr>
        <w:t>argeur minimale et typique des sentiers.</w:t>
      </w:r>
    </w:p>
    <w:p w14:paraId="382046C6" w14:textId="4442430F" w:rsidR="0022287B" w:rsidRPr="001B23FA" w:rsidRDefault="00051AF2" w:rsidP="0022287B">
      <w:pPr>
        <w:rPr>
          <w:lang w:val="fr-CA"/>
        </w:rPr>
      </w:pPr>
      <w:r>
        <w:rPr>
          <w:rStyle w:val="EmphasisUseSparingly"/>
          <w:lang w:val="fr-CA"/>
        </w:rPr>
        <w:t>Remarque</w:t>
      </w:r>
      <w:r w:rsidR="00C50EFB" w:rsidRPr="001B23FA">
        <w:rPr>
          <w:rStyle w:val="EmphasisUseSparingly"/>
          <w:lang w:val="fr-CA"/>
        </w:rPr>
        <w:t xml:space="preserve"> 1</w:t>
      </w:r>
      <w:r w:rsidR="001C5600">
        <w:rPr>
          <w:rStyle w:val="EmphasisUseSparingly"/>
          <w:lang w:val="fr-CA"/>
        </w:rPr>
        <w:t> </w:t>
      </w:r>
      <w:r w:rsidR="00C50EFB" w:rsidRPr="001B23FA">
        <w:rPr>
          <w:rStyle w:val="EmphasisUseSparingly"/>
          <w:lang w:val="fr-CA"/>
        </w:rPr>
        <w:t>:</w:t>
      </w:r>
      <w:r w:rsidR="00C50EFB" w:rsidRPr="001B23FA">
        <w:rPr>
          <w:lang w:val="fr-CA"/>
        </w:rPr>
        <w:t xml:space="preserve"> L</w:t>
      </w:r>
      <w:r w:rsidR="009E20CA">
        <w:rPr>
          <w:lang w:val="fr-CA"/>
        </w:rPr>
        <w:t>’</w:t>
      </w:r>
      <w:r w:rsidR="00C50EFB" w:rsidRPr="001B23FA">
        <w:rPr>
          <w:lang w:val="fr-CA"/>
        </w:rPr>
        <w:t>emplacement des commodités (s</w:t>
      </w:r>
      <w:r w:rsidR="009E20CA">
        <w:rPr>
          <w:lang w:val="fr-CA"/>
        </w:rPr>
        <w:t>’</w:t>
      </w:r>
      <w:r w:rsidR="00C50EFB" w:rsidRPr="001B23FA">
        <w:rPr>
          <w:lang w:val="fr-CA"/>
        </w:rPr>
        <w:t>il y en a) doit également être indiqué.</w:t>
      </w:r>
    </w:p>
    <w:p w14:paraId="240463BB" w14:textId="2E7410CC" w:rsidR="0022287B" w:rsidRPr="00AF17FB" w:rsidRDefault="00AF17FB" w:rsidP="0022287B">
      <w:pPr>
        <w:rPr>
          <w:lang w:val="fr-CA"/>
        </w:rPr>
      </w:pPr>
      <w:r w:rsidRPr="00AF17FB">
        <w:rPr>
          <w:rStyle w:val="EmphasisUseSparingly"/>
          <w:lang w:val="fr-CA"/>
        </w:rPr>
        <w:lastRenderedPageBreak/>
        <w:t>Re</w:t>
      </w:r>
      <w:r>
        <w:rPr>
          <w:rStyle w:val="EmphasisUseSparingly"/>
          <w:lang w:val="fr-CA"/>
        </w:rPr>
        <w:t>marque</w:t>
      </w:r>
      <w:r w:rsidR="00C50EFB" w:rsidRPr="00AF17FB">
        <w:rPr>
          <w:rStyle w:val="EmphasisUseSparingly"/>
          <w:lang w:val="fr-CA"/>
        </w:rPr>
        <w:t xml:space="preserve"> 2</w:t>
      </w:r>
      <w:r w:rsidR="001C5600">
        <w:rPr>
          <w:rStyle w:val="EmphasisUseSparingly"/>
          <w:lang w:val="fr-CA"/>
        </w:rPr>
        <w:t> </w:t>
      </w:r>
      <w:r w:rsidR="00C50EFB" w:rsidRPr="00AF17FB">
        <w:rPr>
          <w:rStyle w:val="EmphasisUseSparingly"/>
          <w:lang w:val="fr-CA"/>
        </w:rPr>
        <w:t>:</w:t>
      </w:r>
      <w:r w:rsidR="00C50EFB" w:rsidRPr="00AF17FB">
        <w:rPr>
          <w:lang w:val="fr-CA"/>
        </w:rPr>
        <w:t xml:space="preserve"> </w:t>
      </w:r>
      <w:r w:rsidR="00571A30" w:rsidRPr="00AF17FB">
        <w:rPr>
          <w:lang w:val="fr-CA"/>
        </w:rPr>
        <w:t xml:space="preserve">Un changement </w:t>
      </w:r>
      <w:r w:rsidR="00571A30">
        <w:rPr>
          <w:lang w:val="fr-CA"/>
        </w:rPr>
        <w:t>significatif</w:t>
      </w:r>
      <w:r w:rsidR="00C50EFB" w:rsidRPr="00AF17FB">
        <w:rPr>
          <w:lang w:val="fr-CA"/>
        </w:rPr>
        <w:t xml:space="preserve"> dans les conditions du sentier inclut, sans s</w:t>
      </w:r>
      <w:r w:rsidR="009E20CA">
        <w:rPr>
          <w:lang w:val="fr-CA"/>
        </w:rPr>
        <w:t>’</w:t>
      </w:r>
      <w:r w:rsidR="00C50EFB" w:rsidRPr="00AF17FB">
        <w:rPr>
          <w:lang w:val="fr-CA"/>
        </w:rPr>
        <w:t>y limiter, de grands changements dans la pente, la direction de la pente, le type de couverture du sol, la largeur du sentier, ou la fréquence ou la taille des obstacles.</w:t>
      </w:r>
    </w:p>
    <w:p w14:paraId="3D64416B" w14:textId="02290937" w:rsidR="00C50EFB" w:rsidRPr="00AF17FB" w:rsidRDefault="002820F7" w:rsidP="0022287B">
      <w:pPr>
        <w:rPr>
          <w:lang w:val="fr-CA"/>
        </w:rPr>
      </w:pPr>
      <w:r w:rsidRPr="002820F7">
        <w:rPr>
          <w:rStyle w:val="EmphasisUseSparingly"/>
          <w:lang w:val="fr-CA"/>
        </w:rPr>
        <w:t>Re</w:t>
      </w:r>
      <w:r>
        <w:rPr>
          <w:rStyle w:val="EmphasisUseSparingly"/>
          <w:lang w:val="fr-CA"/>
        </w:rPr>
        <w:t>marque</w:t>
      </w:r>
      <w:r w:rsidR="00C50EFB" w:rsidRPr="00AF17FB">
        <w:rPr>
          <w:rStyle w:val="EmphasisUseSparingly"/>
          <w:lang w:val="fr-CA"/>
        </w:rPr>
        <w:t xml:space="preserve"> 3</w:t>
      </w:r>
      <w:r w:rsidR="001C5600">
        <w:rPr>
          <w:rStyle w:val="EmphasisUseSparingly"/>
          <w:lang w:val="fr-CA"/>
        </w:rPr>
        <w:t> </w:t>
      </w:r>
      <w:r w:rsidR="00C50EFB" w:rsidRPr="00AF17FB">
        <w:rPr>
          <w:rStyle w:val="EmphasisUseSparingly"/>
          <w:lang w:val="fr-CA"/>
        </w:rPr>
        <w:t>:</w:t>
      </w:r>
      <w:r w:rsidR="00C50EFB" w:rsidRPr="00AF17FB">
        <w:rPr>
          <w:lang w:val="fr-CA"/>
        </w:rPr>
        <w:t xml:space="preserve"> Les cartes des sentiers peuvent être utilisées pour indiquer </w:t>
      </w:r>
      <w:r w:rsidR="00BB3A05" w:rsidRPr="00AF17FB">
        <w:rPr>
          <w:lang w:val="fr-CA"/>
        </w:rPr>
        <w:t xml:space="preserve">des </w:t>
      </w:r>
      <w:r w:rsidR="00BB3A05">
        <w:rPr>
          <w:lang w:val="fr-CA"/>
        </w:rPr>
        <w:t>voies</w:t>
      </w:r>
      <w:r w:rsidR="00BB3A05" w:rsidRPr="00AF17FB">
        <w:rPr>
          <w:lang w:val="fr-CA"/>
        </w:rPr>
        <w:t xml:space="preserve"> alternatives</w:t>
      </w:r>
      <w:r w:rsidR="00C50EFB" w:rsidRPr="00AF17FB">
        <w:rPr>
          <w:lang w:val="fr-CA"/>
        </w:rPr>
        <w:t>, lorsque disponibles.</w:t>
      </w:r>
    </w:p>
    <w:p w14:paraId="38F05013" w14:textId="1261DB5E" w:rsidR="000260C5" w:rsidRDefault="004C6684" w:rsidP="004C6684">
      <w:pPr>
        <w:pStyle w:val="Heading2"/>
      </w:pPr>
      <w:bookmarkStart w:id="626" w:name="_Toc219706222"/>
      <w:proofErr w:type="spellStart"/>
      <w:r>
        <w:t>Qualité</w:t>
      </w:r>
      <w:proofErr w:type="spellEnd"/>
      <w:r>
        <w:t xml:space="preserve"> de </w:t>
      </w:r>
      <w:proofErr w:type="spellStart"/>
      <w:r>
        <w:t>l</w:t>
      </w:r>
      <w:r w:rsidR="009E20CA">
        <w:t>’</w:t>
      </w:r>
      <w:r>
        <w:t>information</w:t>
      </w:r>
      <w:bookmarkEnd w:id="626"/>
      <w:proofErr w:type="spellEnd"/>
    </w:p>
    <w:p w14:paraId="084931A8" w14:textId="4314EFE7" w:rsidR="004C6684" w:rsidRPr="00BB3A05" w:rsidRDefault="004C6684" w:rsidP="004C6684">
      <w:pPr>
        <w:pStyle w:val="ListRef"/>
        <w:rPr>
          <w:lang w:val="fr-CA"/>
        </w:rPr>
      </w:pPr>
      <w:r w:rsidRPr="00BB3A05">
        <w:rPr>
          <w:lang w:val="fr-CA"/>
        </w:rPr>
        <w:t>Les informations fournies par les panneaux doivent</w:t>
      </w:r>
      <w:r w:rsidR="001C5600">
        <w:rPr>
          <w:lang w:val="fr-CA"/>
        </w:rPr>
        <w:t> </w:t>
      </w:r>
      <w:r w:rsidRPr="00BB3A05">
        <w:rPr>
          <w:lang w:val="fr-CA"/>
        </w:rPr>
        <w:t>:</w:t>
      </w:r>
    </w:p>
    <w:p w14:paraId="7B029D9E" w14:textId="77777777" w:rsidR="004C6684" w:rsidRPr="00BB3A05" w:rsidRDefault="004C6684" w:rsidP="003F66F0">
      <w:pPr>
        <w:pStyle w:val="ListRef"/>
        <w:numPr>
          <w:ilvl w:val="0"/>
          <w:numId w:val="44"/>
        </w:numPr>
        <w:rPr>
          <w:lang w:val="fr-CA"/>
        </w:rPr>
      </w:pPr>
      <w:proofErr w:type="gramStart"/>
      <w:r w:rsidRPr="00BB3A05">
        <w:rPr>
          <w:lang w:val="fr-CA"/>
        </w:rPr>
        <w:t>être</w:t>
      </w:r>
      <w:proofErr w:type="gramEnd"/>
      <w:r w:rsidRPr="00BB3A05">
        <w:rPr>
          <w:lang w:val="fr-CA"/>
        </w:rPr>
        <w:t xml:space="preserve"> concis et rédigé en langage direct et clair;</w:t>
      </w:r>
    </w:p>
    <w:p w14:paraId="2E65C151" w14:textId="7248ABD9" w:rsidR="004C6684" w:rsidRPr="00BB3A05" w:rsidRDefault="004C6684" w:rsidP="003F66F0">
      <w:pPr>
        <w:pStyle w:val="ListRef"/>
        <w:numPr>
          <w:ilvl w:val="0"/>
          <w:numId w:val="44"/>
        </w:numPr>
        <w:rPr>
          <w:lang w:val="fr-CA"/>
        </w:rPr>
      </w:pPr>
      <w:proofErr w:type="gramStart"/>
      <w:r w:rsidRPr="00BB3A05">
        <w:rPr>
          <w:lang w:val="fr-CA"/>
        </w:rPr>
        <w:t>éviter</w:t>
      </w:r>
      <w:proofErr w:type="gramEnd"/>
      <w:r w:rsidRPr="00BB3A05">
        <w:rPr>
          <w:lang w:val="fr-CA"/>
        </w:rPr>
        <w:t xml:space="preserve"> l</w:t>
      </w:r>
      <w:r w:rsidR="009E20CA">
        <w:rPr>
          <w:lang w:val="fr-CA"/>
        </w:rPr>
        <w:t>’</w:t>
      </w:r>
      <w:r w:rsidRPr="00BB3A05">
        <w:rPr>
          <w:lang w:val="fr-CA"/>
        </w:rPr>
        <w:t>utilisation de jargon, d</w:t>
      </w:r>
      <w:r w:rsidR="009E20CA">
        <w:rPr>
          <w:lang w:val="fr-CA"/>
        </w:rPr>
        <w:t>’</w:t>
      </w:r>
      <w:r w:rsidRPr="00BB3A05">
        <w:rPr>
          <w:lang w:val="fr-CA"/>
        </w:rPr>
        <w:t>acronymes et d</w:t>
      </w:r>
      <w:r w:rsidR="009E20CA">
        <w:rPr>
          <w:lang w:val="fr-CA"/>
        </w:rPr>
        <w:t>’</w:t>
      </w:r>
      <w:r w:rsidRPr="00BB3A05">
        <w:rPr>
          <w:lang w:val="fr-CA"/>
        </w:rPr>
        <w:t>abréviations; et</w:t>
      </w:r>
    </w:p>
    <w:p w14:paraId="10B61147" w14:textId="5C6DC656" w:rsidR="004C6684" w:rsidRPr="00BB3A05" w:rsidRDefault="00C778AC" w:rsidP="003F66F0">
      <w:pPr>
        <w:pStyle w:val="ListRef"/>
        <w:numPr>
          <w:ilvl w:val="0"/>
          <w:numId w:val="44"/>
        </w:numPr>
        <w:rPr>
          <w:lang w:val="fr-CA"/>
        </w:rPr>
      </w:pPr>
      <w:proofErr w:type="gramStart"/>
      <w:r>
        <w:rPr>
          <w:lang w:val="fr-CA"/>
        </w:rPr>
        <w:t>inclure</w:t>
      </w:r>
      <w:proofErr w:type="gramEnd"/>
      <w:r w:rsidR="004C6684" w:rsidRPr="00BB3A05">
        <w:rPr>
          <w:lang w:val="fr-CA"/>
        </w:rPr>
        <w:t xml:space="preserve"> des méthodes de communication alternatives</w:t>
      </w:r>
      <w:r w:rsidR="00611564">
        <w:rPr>
          <w:lang w:val="fr-CA"/>
        </w:rPr>
        <w:t xml:space="preserve"> (</w:t>
      </w:r>
      <w:r w:rsidR="004C6684" w:rsidRPr="00BB3A05">
        <w:rPr>
          <w:lang w:val="fr-CA"/>
        </w:rPr>
        <w:t>c</w:t>
      </w:r>
      <w:r w:rsidR="005B3C26">
        <w:rPr>
          <w:lang w:val="fr-CA"/>
        </w:rPr>
        <w:t>.-à-d.</w:t>
      </w:r>
      <w:r w:rsidR="004C6684" w:rsidRPr="00BB3A05">
        <w:rPr>
          <w:lang w:val="fr-CA"/>
        </w:rPr>
        <w:t xml:space="preserve"> une technologie </w:t>
      </w:r>
      <w:r w:rsidR="00992B0C">
        <w:rPr>
          <w:lang w:val="fr-CA"/>
        </w:rPr>
        <w:t>sonore</w:t>
      </w:r>
      <w:r w:rsidR="004C6684" w:rsidRPr="00BB3A05">
        <w:rPr>
          <w:lang w:val="fr-CA"/>
        </w:rPr>
        <w:t xml:space="preserve">, </w:t>
      </w:r>
      <w:r w:rsidR="00571A30" w:rsidRPr="00BB3A05">
        <w:rPr>
          <w:lang w:val="fr-CA"/>
        </w:rPr>
        <w:t>une brochure</w:t>
      </w:r>
      <w:r w:rsidR="00476313">
        <w:rPr>
          <w:lang w:val="fr-CA"/>
        </w:rPr>
        <w:t xml:space="preserve"> en</w:t>
      </w:r>
      <w:r w:rsidR="004C6684" w:rsidRPr="00BB3A05">
        <w:rPr>
          <w:lang w:val="fr-CA"/>
        </w:rPr>
        <w:t xml:space="preserve"> braille ou un format alternatif similaire</w:t>
      </w:r>
      <w:r w:rsidR="00611564">
        <w:rPr>
          <w:lang w:val="fr-CA"/>
        </w:rPr>
        <w:t>)</w:t>
      </w:r>
      <w:r w:rsidR="004C6684" w:rsidRPr="00BB3A05">
        <w:rPr>
          <w:lang w:val="fr-CA"/>
        </w:rPr>
        <w:t xml:space="preserve"> lorsqu</w:t>
      </w:r>
      <w:r w:rsidR="009E20CA">
        <w:rPr>
          <w:lang w:val="fr-CA"/>
        </w:rPr>
        <w:t>’</w:t>
      </w:r>
      <w:r w:rsidR="004C6684" w:rsidRPr="00BB3A05">
        <w:rPr>
          <w:lang w:val="fr-CA"/>
        </w:rPr>
        <w:t xml:space="preserve">il </w:t>
      </w:r>
      <w:r w:rsidR="00D673E8">
        <w:rPr>
          <w:lang w:val="fr-CA"/>
        </w:rPr>
        <w:t xml:space="preserve">existe </w:t>
      </w:r>
      <w:r w:rsidR="004C6684" w:rsidRPr="00BB3A05">
        <w:rPr>
          <w:lang w:val="fr-CA"/>
        </w:rPr>
        <w:t>un besoin</w:t>
      </w:r>
      <w:r w:rsidR="0070649A">
        <w:rPr>
          <w:lang w:val="fr-CA"/>
        </w:rPr>
        <w:t xml:space="preserve"> est</w:t>
      </w:r>
      <w:r w:rsidR="004C6684" w:rsidRPr="00BB3A05">
        <w:rPr>
          <w:lang w:val="fr-CA"/>
        </w:rPr>
        <w:t xml:space="preserve"> établi.</w:t>
      </w:r>
    </w:p>
    <w:p w14:paraId="11626D9B" w14:textId="76511907" w:rsidR="00B45403" w:rsidRDefault="00571A30" w:rsidP="004C6684">
      <w:pPr>
        <w:rPr>
          <w:rStyle w:val="EmphasisUseSparingly"/>
          <w:lang w:val="fr-CA"/>
        </w:rPr>
      </w:pPr>
      <w:r>
        <w:rPr>
          <w:rStyle w:val="EmphasisUseSparingly"/>
          <w:lang w:val="fr-CA"/>
        </w:rPr>
        <w:t>Remarque</w:t>
      </w:r>
      <w:r w:rsidR="004C6684" w:rsidRPr="00BB3A05">
        <w:rPr>
          <w:rStyle w:val="EmphasisUseSparingly"/>
          <w:lang w:val="fr-CA"/>
        </w:rPr>
        <w:t xml:space="preserve"> 1</w:t>
      </w:r>
      <w:r w:rsidR="001C5600">
        <w:rPr>
          <w:rStyle w:val="EmphasisUseSparingly"/>
          <w:lang w:val="fr-CA"/>
        </w:rPr>
        <w:t> </w:t>
      </w:r>
      <w:r w:rsidR="004C6684" w:rsidRPr="00BB3A05">
        <w:rPr>
          <w:rStyle w:val="EmphasisUseSparingly"/>
          <w:lang w:val="fr-CA"/>
        </w:rPr>
        <w:t xml:space="preserve">: </w:t>
      </w:r>
      <w:r w:rsidR="00B45403" w:rsidRPr="00B45403">
        <w:rPr>
          <w:rStyle w:val="EmphasisUseSparingly"/>
          <w:b w:val="0"/>
          <w:bCs/>
          <w:lang w:val="fr-CA"/>
        </w:rPr>
        <w:t>Lorsqu</w:t>
      </w:r>
      <w:r w:rsidR="009E20CA">
        <w:rPr>
          <w:rStyle w:val="EmphasisUseSparingly"/>
          <w:b w:val="0"/>
          <w:bCs/>
          <w:lang w:val="fr-CA"/>
        </w:rPr>
        <w:t>’</w:t>
      </w:r>
      <w:r w:rsidR="00B45403" w:rsidRPr="00B45403">
        <w:rPr>
          <w:rStyle w:val="EmphasisUseSparingly"/>
          <w:b w:val="0"/>
          <w:bCs/>
          <w:lang w:val="fr-CA"/>
        </w:rPr>
        <w:t>un panneau contient plusieurs langues, chacune d</w:t>
      </w:r>
      <w:r w:rsidR="009E20CA">
        <w:rPr>
          <w:rStyle w:val="EmphasisUseSparingly"/>
          <w:b w:val="0"/>
          <w:bCs/>
          <w:lang w:val="fr-CA"/>
        </w:rPr>
        <w:t>’</w:t>
      </w:r>
      <w:r w:rsidR="00B45403" w:rsidRPr="00B45403">
        <w:rPr>
          <w:rStyle w:val="EmphasisUseSparingly"/>
          <w:b w:val="0"/>
          <w:bCs/>
          <w:lang w:val="fr-CA"/>
        </w:rPr>
        <w:t>entre elles doit être présentée côte à côte sur le même panneau. Lorsque l</w:t>
      </w:r>
      <w:r w:rsidR="009E20CA">
        <w:rPr>
          <w:rStyle w:val="EmphasisUseSparingly"/>
          <w:b w:val="0"/>
          <w:bCs/>
          <w:lang w:val="fr-CA"/>
        </w:rPr>
        <w:t>’</w:t>
      </w:r>
      <w:r w:rsidR="00B45403" w:rsidRPr="00B45403">
        <w:rPr>
          <w:rStyle w:val="EmphasisUseSparingly"/>
          <w:b w:val="0"/>
          <w:bCs/>
          <w:lang w:val="fr-CA"/>
        </w:rPr>
        <w:t>espace ne permet pas une présentation côte à côte, une langue peut apparaître au-dessus de l</w:t>
      </w:r>
      <w:r w:rsidR="009E20CA">
        <w:rPr>
          <w:rStyle w:val="EmphasisUseSparingly"/>
          <w:b w:val="0"/>
          <w:bCs/>
          <w:lang w:val="fr-CA"/>
        </w:rPr>
        <w:t>’</w:t>
      </w:r>
      <w:r w:rsidR="00B45403" w:rsidRPr="00B45403">
        <w:rPr>
          <w:rStyle w:val="EmphasisUseSparingly"/>
          <w:b w:val="0"/>
          <w:bCs/>
          <w:lang w:val="fr-CA"/>
        </w:rPr>
        <w:t>autre, ce que l</w:t>
      </w:r>
      <w:r w:rsidR="009E20CA">
        <w:rPr>
          <w:rStyle w:val="EmphasisUseSparingly"/>
          <w:b w:val="0"/>
          <w:bCs/>
          <w:lang w:val="fr-CA"/>
        </w:rPr>
        <w:t>’</w:t>
      </w:r>
      <w:r w:rsidR="00B45403" w:rsidRPr="00B45403">
        <w:rPr>
          <w:rStyle w:val="EmphasisUseSparingly"/>
          <w:b w:val="0"/>
          <w:bCs/>
          <w:lang w:val="fr-CA"/>
        </w:rPr>
        <w:t>on appelle une présentation superposée. Que la présentation soit côte à côte ou superposée, les deux langues doivent être présentées de manière égale à tous égards, y compris en termes de taille, de police, de couleur, de mise en évidence et de respect des conventions et de la grammaire.</w:t>
      </w:r>
    </w:p>
    <w:p w14:paraId="38874699" w14:textId="6F4A83DC" w:rsidR="004C6684" w:rsidRPr="00BB3A05" w:rsidRDefault="008E2296" w:rsidP="004C6684">
      <w:pPr>
        <w:rPr>
          <w:lang w:val="fr-CA"/>
        </w:rPr>
      </w:pPr>
      <w:r>
        <w:rPr>
          <w:rStyle w:val="EmphasisUseSparingly"/>
          <w:lang w:val="fr-CA"/>
        </w:rPr>
        <w:t>Remarque</w:t>
      </w:r>
      <w:r w:rsidR="004C6684" w:rsidRPr="00BB3A05">
        <w:rPr>
          <w:rStyle w:val="EmphasisUseSparingly"/>
          <w:lang w:val="fr-CA"/>
        </w:rPr>
        <w:t xml:space="preserve"> </w:t>
      </w:r>
      <w:r w:rsidR="00B3774D">
        <w:rPr>
          <w:rStyle w:val="EmphasisUseSparingly"/>
          <w:lang w:val="fr-CA"/>
        </w:rPr>
        <w:t>2</w:t>
      </w:r>
      <w:r w:rsidR="001C5600">
        <w:rPr>
          <w:rStyle w:val="EmphasisUseSparingly"/>
          <w:lang w:val="fr-CA"/>
        </w:rPr>
        <w:t> </w:t>
      </w:r>
      <w:r w:rsidR="004C6684" w:rsidRPr="00BB3A05">
        <w:rPr>
          <w:rStyle w:val="EmphasisUseSparingly"/>
          <w:lang w:val="fr-CA"/>
        </w:rPr>
        <w:t>:</w:t>
      </w:r>
      <w:r w:rsidR="004C6684" w:rsidRPr="00BB3A05">
        <w:rPr>
          <w:lang w:val="fr-CA"/>
        </w:rPr>
        <w:t xml:space="preserve"> Les </w:t>
      </w:r>
      <w:r w:rsidR="0075660F">
        <w:rPr>
          <w:lang w:val="fr-CA"/>
        </w:rPr>
        <w:t>détecteurs</w:t>
      </w:r>
      <w:r w:rsidR="004C6684" w:rsidRPr="00BB3A05">
        <w:rPr>
          <w:lang w:val="fr-CA"/>
        </w:rPr>
        <w:t xml:space="preserve"> de mouvement ou codes QR qui déclenchent un enregistrement audio de l</w:t>
      </w:r>
      <w:r w:rsidR="009E20CA">
        <w:rPr>
          <w:lang w:val="fr-CA"/>
        </w:rPr>
        <w:t>’</w:t>
      </w:r>
      <w:r w:rsidR="004C6684" w:rsidRPr="00BB3A05">
        <w:rPr>
          <w:lang w:val="fr-CA"/>
        </w:rPr>
        <w:t>information et d</w:t>
      </w:r>
      <w:r w:rsidR="009E20CA">
        <w:rPr>
          <w:lang w:val="fr-CA"/>
        </w:rPr>
        <w:t>’</w:t>
      </w:r>
      <w:r w:rsidR="004C6684" w:rsidRPr="00BB3A05">
        <w:rPr>
          <w:lang w:val="fr-CA"/>
        </w:rPr>
        <w:t>autres technologies qui lisent automatiquement le texte à voix haute sont des exemples d</w:t>
      </w:r>
      <w:r w:rsidR="009E20CA">
        <w:rPr>
          <w:lang w:val="fr-CA"/>
        </w:rPr>
        <w:t>’</w:t>
      </w:r>
      <w:r w:rsidR="004C6684" w:rsidRPr="00BB3A05">
        <w:rPr>
          <w:lang w:val="fr-CA"/>
        </w:rPr>
        <w:t>options valides qui peuvent être utilisées.</w:t>
      </w:r>
    </w:p>
    <w:p w14:paraId="7754B8F9" w14:textId="7E6A5CEB" w:rsidR="004C6684" w:rsidRDefault="009A277E" w:rsidP="009A277E">
      <w:pPr>
        <w:pStyle w:val="Heading2"/>
      </w:pPr>
      <w:bookmarkStart w:id="627" w:name="_Configuration"/>
      <w:bookmarkStart w:id="628" w:name="_Toc219706223"/>
      <w:bookmarkEnd w:id="627"/>
      <w:r>
        <w:lastRenderedPageBreak/>
        <w:t>Configuration</w:t>
      </w:r>
      <w:bookmarkEnd w:id="628"/>
    </w:p>
    <w:p w14:paraId="73CCEB80" w14:textId="1EF358DA" w:rsidR="009A277E" w:rsidRPr="00835330" w:rsidRDefault="009A277E" w:rsidP="009A277E">
      <w:pPr>
        <w:rPr>
          <w:rStyle w:val="EmphasisUseSparingly"/>
          <w:lang w:val="fr-CA"/>
        </w:rPr>
      </w:pPr>
      <w:r w:rsidRPr="00835330">
        <w:rPr>
          <w:lang w:val="fr-CA"/>
        </w:rPr>
        <w:t xml:space="preserve">La configuration des </w:t>
      </w:r>
      <w:r w:rsidR="00570347">
        <w:rPr>
          <w:lang w:val="fr-CA"/>
        </w:rPr>
        <w:t>panneaux</w:t>
      </w:r>
      <w:r w:rsidRPr="00835330">
        <w:rPr>
          <w:lang w:val="fr-CA"/>
        </w:rPr>
        <w:t xml:space="preserve"> concerne l</w:t>
      </w:r>
      <w:r w:rsidR="00C60E66">
        <w:rPr>
          <w:lang w:val="fr-CA"/>
        </w:rPr>
        <w:t>eurs</w:t>
      </w:r>
      <w:r w:rsidRPr="00835330">
        <w:rPr>
          <w:lang w:val="fr-CA"/>
        </w:rPr>
        <w:t xml:space="preserve"> propriétés physiques, l</w:t>
      </w:r>
      <w:r w:rsidR="00C60E66">
        <w:rPr>
          <w:lang w:val="fr-CA"/>
        </w:rPr>
        <w:t>eur</w:t>
      </w:r>
      <w:r w:rsidRPr="00835330">
        <w:rPr>
          <w:lang w:val="fr-CA"/>
        </w:rPr>
        <w:t xml:space="preserve"> présentation et l</w:t>
      </w:r>
      <w:r w:rsidR="00C60E66">
        <w:rPr>
          <w:lang w:val="fr-CA"/>
        </w:rPr>
        <w:t>eur</w:t>
      </w:r>
      <w:r w:rsidRPr="00835330">
        <w:rPr>
          <w:lang w:val="fr-CA"/>
        </w:rPr>
        <w:t xml:space="preserve"> conception</w:t>
      </w:r>
      <w:r w:rsidRPr="00835330">
        <w:rPr>
          <w:rStyle w:val="EmphasisUseSparingly"/>
          <w:lang w:val="fr-CA"/>
        </w:rPr>
        <w:t>.</w:t>
      </w:r>
    </w:p>
    <w:p w14:paraId="177376A1" w14:textId="18B17115" w:rsidR="009A277E" w:rsidRDefault="009A277E" w:rsidP="009A277E">
      <w:pPr>
        <w:pStyle w:val="ListRef"/>
      </w:pPr>
      <w:r>
        <w:t xml:space="preserve">Les </w:t>
      </w:r>
      <w:proofErr w:type="spellStart"/>
      <w:r w:rsidR="00C60E66">
        <w:t>panneaux</w:t>
      </w:r>
      <w:proofErr w:type="spellEnd"/>
      <w:r>
        <w:t xml:space="preserve"> </w:t>
      </w:r>
      <w:proofErr w:type="spellStart"/>
      <w:proofErr w:type="gramStart"/>
      <w:r w:rsidR="008C220B">
        <w:t>doivent</w:t>
      </w:r>
      <w:proofErr w:type="spellEnd"/>
      <w:r w:rsidR="001C5600">
        <w:t> </w:t>
      </w:r>
      <w:r w:rsidR="008C220B">
        <w:t>:</w:t>
      </w:r>
      <w:proofErr w:type="gramEnd"/>
    </w:p>
    <w:p w14:paraId="07A5D020" w14:textId="0CC12126" w:rsidR="009A277E" w:rsidRPr="00835330" w:rsidRDefault="00E51E5E" w:rsidP="003F66F0">
      <w:pPr>
        <w:pStyle w:val="ListRef"/>
        <w:numPr>
          <w:ilvl w:val="0"/>
          <w:numId w:val="45"/>
        </w:numPr>
        <w:rPr>
          <w:lang w:val="fr-CA"/>
        </w:rPr>
      </w:pPr>
      <w:proofErr w:type="gramStart"/>
      <w:r w:rsidRPr="00E51E5E">
        <w:rPr>
          <w:lang w:val="fr-CA"/>
        </w:rPr>
        <w:t>av</w:t>
      </w:r>
      <w:r>
        <w:rPr>
          <w:lang w:val="fr-CA"/>
        </w:rPr>
        <w:t>oir</w:t>
      </w:r>
      <w:proofErr w:type="gramEnd"/>
      <w:r>
        <w:rPr>
          <w:lang w:val="fr-CA"/>
        </w:rPr>
        <w:t xml:space="preserve"> </w:t>
      </w:r>
      <w:r w:rsidR="009A277E" w:rsidRPr="00835330">
        <w:rPr>
          <w:lang w:val="fr-CA"/>
        </w:rPr>
        <w:t xml:space="preserve">des surfaces, y compris les surfaces </w:t>
      </w:r>
      <w:r w:rsidR="00B157D1">
        <w:rPr>
          <w:lang w:val="fr-CA"/>
        </w:rPr>
        <w:t>en relief</w:t>
      </w:r>
      <w:r w:rsidR="009A277E" w:rsidRPr="00835330">
        <w:rPr>
          <w:lang w:val="fr-CA"/>
        </w:rPr>
        <w:t xml:space="preserve"> et </w:t>
      </w:r>
      <w:r w:rsidR="00E12B3E">
        <w:rPr>
          <w:lang w:val="fr-CA"/>
        </w:rPr>
        <w:t>les surfaces d’arrière-plan</w:t>
      </w:r>
      <w:r w:rsidR="009A277E" w:rsidRPr="00835330">
        <w:rPr>
          <w:lang w:val="fr-CA"/>
        </w:rPr>
        <w:t xml:space="preserve">, </w:t>
      </w:r>
      <w:r w:rsidR="00E12B3E">
        <w:rPr>
          <w:lang w:val="fr-CA"/>
        </w:rPr>
        <w:t>présentant une</w:t>
      </w:r>
      <w:r w:rsidR="009A277E" w:rsidRPr="00835330">
        <w:rPr>
          <w:lang w:val="fr-CA"/>
        </w:rPr>
        <w:t xml:space="preserve"> réflexion et </w:t>
      </w:r>
      <w:r w:rsidR="008C1CBD">
        <w:rPr>
          <w:lang w:val="fr-CA"/>
        </w:rPr>
        <w:t xml:space="preserve">un </w:t>
      </w:r>
      <w:r w:rsidR="009A277E" w:rsidRPr="00835330">
        <w:rPr>
          <w:lang w:val="fr-CA"/>
        </w:rPr>
        <w:t>éblouissement</w:t>
      </w:r>
      <w:r w:rsidR="008C1CBD">
        <w:rPr>
          <w:lang w:val="fr-CA"/>
        </w:rPr>
        <w:t xml:space="preserve"> très faibles</w:t>
      </w:r>
      <w:r w:rsidR="009A277E" w:rsidRPr="00835330">
        <w:rPr>
          <w:lang w:val="fr-CA"/>
        </w:rPr>
        <w:t>, ne dépassant pas 50</w:t>
      </w:r>
      <w:r w:rsidR="003B2C52">
        <w:rPr>
          <w:lang w:val="fr-CA"/>
        </w:rPr>
        <w:t> </w:t>
      </w:r>
      <w:r w:rsidR="009A277E" w:rsidRPr="00835330">
        <w:rPr>
          <w:lang w:val="fr-CA"/>
        </w:rPr>
        <w:t>unités</w:t>
      </w:r>
      <w:r w:rsidR="008C1CBD">
        <w:rPr>
          <w:lang w:val="fr-CA"/>
        </w:rPr>
        <w:t xml:space="preserve"> de</w:t>
      </w:r>
      <w:r w:rsidR="009A277E" w:rsidRPr="00835330">
        <w:rPr>
          <w:lang w:val="fr-CA"/>
        </w:rPr>
        <w:t xml:space="preserve"> brillan</w:t>
      </w:r>
      <w:r w:rsidR="008C1CBD">
        <w:rPr>
          <w:lang w:val="fr-CA"/>
        </w:rPr>
        <w:t>ce</w:t>
      </w:r>
      <w:r w:rsidR="009A277E" w:rsidRPr="00835330">
        <w:rPr>
          <w:lang w:val="fr-CA"/>
        </w:rPr>
        <w:t>, sauf lorsque des finitions rétroréfléchissantes sont requises pour des raisons de sécurité ou d</w:t>
      </w:r>
      <w:r w:rsidR="009E20CA">
        <w:rPr>
          <w:lang w:val="fr-CA"/>
        </w:rPr>
        <w:t>’</w:t>
      </w:r>
      <w:r w:rsidR="009A277E" w:rsidRPr="00835330">
        <w:rPr>
          <w:lang w:val="fr-CA"/>
        </w:rPr>
        <w:t>exploitation (p</w:t>
      </w:r>
      <w:r w:rsidR="009F19A4">
        <w:rPr>
          <w:lang w:val="fr-CA"/>
        </w:rPr>
        <w:t>.</w:t>
      </w:r>
      <w:r w:rsidR="00DF2720">
        <w:rPr>
          <w:lang w:val="fr-CA"/>
        </w:rPr>
        <w:t xml:space="preserve"> </w:t>
      </w:r>
      <w:r w:rsidR="009F19A4">
        <w:rPr>
          <w:lang w:val="fr-CA"/>
        </w:rPr>
        <w:t>ex</w:t>
      </w:r>
      <w:r w:rsidR="00C35494">
        <w:rPr>
          <w:lang w:val="fr-CA"/>
        </w:rPr>
        <w:t>.</w:t>
      </w:r>
      <w:r w:rsidR="009A277E" w:rsidRPr="00835330">
        <w:rPr>
          <w:lang w:val="fr-CA"/>
        </w:rPr>
        <w:t xml:space="preserve">, </w:t>
      </w:r>
      <w:r w:rsidR="009F19A4">
        <w:rPr>
          <w:lang w:val="fr-CA"/>
        </w:rPr>
        <w:t xml:space="preserve">les </w:t>
      </w:r>
      <w:r w:rsidR="009A277E" w:rsidRPr="00835330">
        <w:rPr>
          <w:lang w:val="fr-CA"/>
        </w:rPr>
        <w:t xml:space="preserve">panneaux utilisés en conditions de faible luminosité sur les sentiers, </w:t>
      </w:r>
      <w:r w:rsidR="009F19A4">
        <w:rPr>
          <w:lang w:val="fr-CA"/>
        </w:rPr>
        <w:t>la signalisation</w:t>
      </w:r>
      <w:r w:rsidR="009A277E" w:rsidRPr="00835330">
        <w:rPr>
          <w:lang w:val="fr-CA"/>
        </w:rPr>
        <w:t xml:space="preserve"> d</w:t>
      </w:r>
      <w:r w:rsidR="009E20CA">
        <w:rPr>
          <w:lang w:val="fr-CA"/>
        </w:rPr>
        <w:t>’</w:t>
      </w:r>
      <w:r w:rsidR="009A277E" w:rsidRPr="00835330">
        <w:rPr>
          <w:lang w:val="fr-CA"/>
        </w:rPr>
        <w:t xml:space="preserve">urgence ou </w:t>
      </w:r>
      <w:r w:rsidR="009F19A4">
        <w:rPr>
          <w:lang w:val="fr-CA"/>
        </w:rPr>
        <w:t xml:space="preserve">les </w:t>
      </w:r>
      <w:r w:rsidR="009A277E" w:rsidRPr="00835330">
        <w:rPr>
          <w:lang w:val="fr-CA"/>
        </w:rPr>
        <w:t>zones d</w:t>
      </w:r>
      <w:r w:rsidR="009E20CA">
        <w:rPr>
          <w:lang w:val="fr-CA"/>
        </w:rPr>
        <w:t>’</w:t>
      </w:r>
      <w:r w:rsidR="009A277E" w:rsidRPr="00835330">
        <w:rPr>
          <w:lang w:val="fr-CA"/>
        </w:rPr>
        <w:t xml:space="preserve">accès </w:t>
      </w:r>
      <w:r w:rsidR="009F19A4">
        <w:rPr>
          <w:lang w:val="fr-CA"/>
        </w:rPr>
        <w:t>aux</w:t>
      </w:r>
      <w:r w:rsidR="009A277E" w:rsidRPr="00835330">
        <w:rPr>
          <w:lang w:val="fr-CA"/>
        </w:rPr>
        <w:t xml:space="preserve"> véhicules);</w:t>
      </w:r>
    </w:p>
    <w:p w14:paraId="1FC42CC0" w14:textId="6A4BE44E" w:rsidR="009A277E" w:rsidRDefault="00D642A9" w:rsidP="009A277E">
      <w:pPr>
        <w:pStyle w:val="ListRef"/>
        <w:ind w:left="1066" w:firstLine="0"/>
        <w:rPr>
          <w:lang w:val="fr-CA"/>
        </w:rPr>
      </w:pPr>
      <w:r>
        <w:rPr>
          <w:rStyle w:val="EmphasisUseSparingly"/>
          <w:lang w:val="fr-CA"/>
        </w:rPr>
        <w:t>Remarque</w:t>
      </w:r>
      <w:r w:rsidR="009A277E" w:rsidRPr="00877353">
        <w:rPr>
          <w:rStyle w:val="EmphasisUseSparingly"/>
          <w:lang w:val="fr-CA"/>
        </w:rPr>
        <w:t xml:space="preserve"> </w:t>
      </w:r>
      <w:r w:rsidR="0060584C">
        <w:rPr>
          <w:rStyle w:val="EmphasisUseSparingly"/>
          <w:lang w:val="fr-CA"/>
        </w:rPr>
        <w:t>1</w:t>
      </w:r>
      <w:r w:rsidR="001C5600">
        <w:rPr>
          <w:rStyle w:val="EmphasisUseSparingly"/>
          <w:lang w:val="fr-CA"/>
        </w:rPr>
        <w:t> </w:t>
      </w:r>
      <w:r w:rsidR="009A277E" w:rsidRPr="00877353">
        <w:rPr>
          <w:rStyle w:val="EmphasisUseSparingly"/>
          <w:lang w:val="fr-CA"/>
        </w:rPr>
        <w:t>:</w:t>
      </w:r>
      <w:r w:rsidR="009A277E" w:rsidRPr="00877353">
        <w:rPr>
          <w:lang w:val="fr-CA"/>
        </w:rPr>
        <w:t xml:space="preserve"> Les surfaces des panneaux d</w:t>
      </w:r>
      <w:r>
        <w:rPr>
          <w:lang w:val="fr-CA"/>
        </w:rPr>
        <w:t>evrai</w:t>
      </w:r>
      <w:r w:rsidR="00DF2720">
        <w:rPr>
          <w:lang w:val="fr-CA"/>
        </w:rPr>
        <w:t>en</w:t>
      </w:r>
      <w:r w:rsidR="009A277E" w:rsidRPr="00877353">
        <w:rPr>
          <w:lang w:val="fr-CA"/>
        </w:rPr>
        <w:t>t généralement être mates ou peu brillantes afin d</w:t>
      </w:r>
      <w:r w:rsidR="009E20CA">
        <w:rPr>
          <w:lang w:val="fr-CA"/>
        </w:rPr>
        <w:t>’</w:t>
      </w:r>
      <w:r w:rsidR="009A277E" w:rsidRPr="00877353">
        <w:rPr>
          <w:lang w:val="fr-CA"/>
        </w:rPr>
        <w:t>éviter l</w:t>
      </w:r>
      <w:r w:rsidR="009E20CA">
        <w:rPr>
          <w:lang w:val="fr-CA"/>
        </w:rPr>
        <w:t>’</w:t>
      </w:r>
      <w:r w:rsidR="009A277E" w:rsidRPr="00877353">
        <w:rPr>
          <w:lang w:val="fr-CA"/>
        </w:rPr>
        <w:t>éblouissement du soleil ou de l</w:t>
      </w:r>
      <w:r w:rsidR="009E20CA">
        <w:rPr>
          <w:lang w:val="fr-CA"/>
        </w:rPr>
        <w:t>’</w:t>
      </w:r>
      <w:r w:rsidR="009A277E" w:rsidRPr="00877353">
        <w:rPr>
          <w:lang w:val="fr-CA"/>
        </w:rPr>
        <w:t xml:space="preserve">éclairage artificiel. Les </w:t>
      </w:r>
      <w:r w:rsidR="00B84CBF">
        <w:rPr>
          <w:lang w:val="fr-CA"/>
        </w:rPr>
        <w:t>panneaux</w:t>
      </w:r>
      <w:r w:rsidR="009A277E" w:rsidRPr="00877353">
        <w:rPr>
          <w:lang w:val="fr-CA"/>
        </w:rPr>
        <w:t xml:space="preserve"> rétroréfléchissants sont généralement utilisés uniquement lorsque la visibilité </w:t>
      </w:r>
      <w:r w:rsidR="001E4034">
        <w:rPr>
          <w:lang w:val="fr-CA"/>
        </w:rPr>
        <w:t xml:space="preserve">accrue est nécessaire </w:t>
      </w:r>
      <w:r w:rsidR="009A277E" w:rsidRPr="00877353">
        <w:rPr>
          <w:lang w:val="fr-CA"/>
        </w:rPr>
        <w:t xml:space="preserve">la nuit ou dans </w:t>
      </w:r>
      <w:r w:rsidR="000E1984">
        <w:rPr>
          <w:lang w:val="fr-CA"/>
        </w:rPr>
        <w:t>l</w:t>
      </w:r>
      <w:r w:rsidR="009A277E" w:rsidRPr="00877353">
        <w:rPr>
          <w:lang w:val="fr-CA"/>
        </w:rPr>
        <w:t xml:space="preserve">es zones </w:t>
      </w:r>
      <w:r w:rsidR="00135E10">
        <w:rPr>
          <w:lang w:val="fr-CA"/>
        </w:rPr>
        <w:t>isolées</w:t>
      </w:r>
      <w:r w:rsidR="009A277E" w:rsidRPr="00877353">
        <w:rPr>
          <w:lang w:val="fr-CA"/>
        </w:rPr>
        <w:t>, comme aux points de départ de sentiers non éclairés ou en situation d</w:t>
      </w:r>
      <w:r w:rsidR="009E20CA">
        <w:rPr>
          <w:lang w:val="fr-CA"/>
        </w:rPr>
        <w:t>’</w:t>
      </w:r>
      <w:r w:rsidR="009A277E" w:rsidRPr="00877353">
        <w:rPr>
          <w:lang w:val="fr-CA"/>
        </w:rPr>
        <w:t>urgence.</w:t>
      </w:r>
    </w:p>
    <w:p w14:paraId="0F00BFFE" w14:textId="07657191" w:rsidR="003A2D32" w:rsidRPr="00877353" w:rsidRDefault="003A2D32" w:rsidP="009A277E">
      <w:pPr>
        <w:pStyle w:val="ListRef"/>
        <w:ind w:left="1066" w:firstLine="0"/>
        <w:rPr>
          <w:lang w:val="fr-CA"/>
        </w:rPr>
      </w:pPr>
      <w:r>
        <w:rPr>
          <w:rStyle w:val="EmphasisUseSparingly"/>
          <w:lang w:val="fr-CA"/>
        </w:rPr>
        <w:t>Remarque 2 :</w:t>
      </w:r>
      <w:r>
        <w:rPr>
          <w:lang w:val="fr-CA"/>
        </w:rPr>
        <w:t xml:space="preserve"> </w:t>
      </w:r>
      <w:r w:rsidR="005F4050" w:rsidRPr="005F4050">
        <w:rPr>
          <w:lang w:val="fr-CA"/>
        </w:rPr>
        <w:t>Une unité de brillance est définie comme une valeur numérique utilisée pour représenter le niveau de brillance ou d</w:t>
      </w:r>
      <w:r w:rsidR="009E20CA">
        <w:rPr>
          <w:lang w:val="fr-CA"/>
        </w:rPr>
        <w:t>’</w:t>
      </w:r>
      <w:r w:rsidR="005F4050" w:rsidRPr="005F4050">
        <w:rPr>
          <w:lang w:val="fr-CA"/>
        </w:rPr>
        <w:t>éclat observé sur une surface lorsque la lumière s</w:t>
      </w:r>
      <w:r w:rsidR="009E20CA">
        <w:rPr>
          <w:lang w:val="fr-CA"/>
        </w:rPr>
        <w:t>’</w:t>
      </w:r>
      <w:r w:rsidR="005F4050" w:rsidRPr="005F4050">
        <w:rPr>
          <w:lang w:val="fr-CA"/>
        </w:rPr>
        <w:t>y reflète.</w:t>
      </w:r>
    </w:p>
    <w:p w14:paraId="43F58B8E" w14:textId="2EAF5807" w:rsidR="009A277E" w:rsidRPr="004A669E" w:rsidRDefault="00CB116E" w:rsidP="003F66F0">
      <w:pPr>
        <w:pStyle w:val="ListRef"/>
        <w:numPr>
          <w:ilvl w:val="0"/>
          <w:numId w:val="45"/>
        </w:numPr>
        <w:rPr>
          <w:lang w:val="fr-CA"/>
        </w:rPr>
      </w:pPr>
      <w:proofErr w:type="gramStart"/>
      <w:r>
        <w:rPr>
          <w:lang w:val="fr-CA"/>
        </w:rPr>
        <w:t>l</w:t>
      </w:r>
      <w:r w:rsidR="009A277E" w:rsidRPr="004A669E">
        <w:rPr>
          <w:lang w:val="fr-CA"/>
        </w:rPr>
        <w:t>orsqu</w:t>
      </w:r>
      <w:r>
        <w:rPr>
          <w:lang w:val="fr-CA"/>
        </w:rPr>
        <w:t>’un</w:t>
      </w:r>
      <w:proofErr w:type="gramEnd"/>
      <w:r>
        <w:rPr>
          <w:lang w:val="fr-CA"/>
        </w:rPr>
        <w:t xml:space="preserve"> éclairage est nécessaire, avoir </w:t>
      </w:r>
      <w:r w:rsidR="004F7AF3">
        <w:rPr>
          <w:lang w:val="fr-CA"/>
        </w:rPr>
        <w:t xml:space="preserve">un </w:t>
      </w:r>
      <w:r w:rsidR="009A277E" w:rsidRPr="004A669E">
        <w:rPr>
          <w:lang w:val="fr-CA"/>
        </w:rPr>
        <w:t>niveau d</w:t>
      </w:r>
      <w:r w:rsidR="009E20CA">
        <w:rPr>
          <w:lang w:val="fr-CA"/>
        </w:rPr>
        <w:t>’</w:t>
      </w:r>
      <w:r w:rsidR="009A277E" w:rsidRPr="004A669E">
        <w:rPr>
          <w:lang w:val="fr-CA"/>
        </w:rPr>
        <w:t>illumination d</w:t>
      </w:r>
      <w:r w:rsidR="009E20CA">
        <w:rPr>
          <w:lang w:val="fr-CA"/>
        </w:rPr>
        <w:t>’</w:t>
      </w:r>
      <w:r w:rsidR="009A277E" w:rsidRPr="004A669E">
        <w:rPr>
          <w:lang w:val="fr-CA"/>
        </w:rPr>
        <w:t>au moins 200</w:t>
      </w:r>
      <w:r w:rsidR="003B2C52">
        <w:rPr>
          <w:lang w:val="fr-CA"/>
        </w:rPr>
        <w:t> </w:t>
      </w:r>
      <w:r w:rsidR="009A277E" w:rsidRPr="004A669E">
        <w:rPr>
          <w:lang w:val="fr-CA"/>
        </w:rPr>
        <w:t>lx</w:t>
      </w:r>
      <w:r w:rsidR="004F7AF3">
        <w:rPr>
          <w:lang w:val="fr-CA"/>
        </w:rPr>
        <w:t xml:space="preserve"> </w:t>
      </w:r>
      <w:r w:rsidR="004F7AF3">
        <w:rPr>
          <w:rFonts w:cs="Arial"/>
          <w:lang w:val="fr-CA"/>
        </w:rPr>
        <w:t>à</w:t>
      </w:r>
      <w:r w:rsidR="004F7AF3">
        <w:rPr>
          <w:lang w:val="fr-CA"/>
        </w:rPr>
        <w:t xml:space="preserve"> la surface</w:t>
      </w:r>
      <w:r w:rsidR="009A277E" w:rsidRPr="004A669E">
        <w:rPr>
          <w:lang w:val="fr-CA"/>
        </w:rPr>
        <w:t>, mesuré uniformément sur toute la face du panneau afin d</w:t>
      </w:r>
      <w:r w:rsidR="009E20CA">
        <w:rPr>
          <w:lang w:val="fr-CA"/>
        </w:rPr>
        <w:t>’</w:t>
      </w:r>
      <w:r w:rsidR="009A277E" w:rsidRPr="004A669E">
        <w:rPr>
          <w:lang w:val="fr-CA"/>
        </w:rPr>
        <w:t xml:space="preserve">assurer la visibilité et la lisibilité </w:t>
      </w:r>
      <w:r w:rsidR="004F7AF3">
        <w:rPr>
          <w:lang w:val="fr-CA"/>
        </w:rPr>
        <w:t>dans des</w:t>
      </w:r>
      <w:r w:rsidR="009A277E" w:rsidRPr="004A669E">
        <w:rPr>
          <w:lang w:val="fr-CA"/>
        </w:rPr>
        <w:t xml:space="preserve"> conditions de faible luminosité</w:t>
      </w:r>
      <w:r w:rsidR="00533515">
        <w:rPr>
          <w:lang w:val="fr-CA"/>
        </w:rPr>
        <w:t>;</w:t>
      </w:r>
    </w:p>
    <w:p w14:paraId="30C007D0" w14:textId="44B9DA39" w:rsidR="009A277E" w:rsidRPr="004A669E" w:rsidRDefault="009A277E" w:rsidP="003F66F0">
      <w:pPr>
        <w:pStyle w:val="ListRef"/>
        <w:numPr>
          <w:ilvl w:val="0"/>
          <w:numId w:val="45"/>
        </w:numPr>
        <w:rPr>
          <w:lang w:val="fr-CA"/>
        </w:rPr>
      </w:pPr>
      <w:proofErr w:type="gramStart"/>
      <w:r w:rsidRPr="004A669E">
        <w:rPr>
          <w:lang w:val="fr-CA"/>
        </w:rPr>
        <w:lastRenderedPageBreak/>
        <w:t>être</w:t>
      </w:r>
      <w:proofErr w:type="gramEnd"/>
      <w:r w:rsidRPr="004A669E">
        <w:rPr>
          <w:lang w:val="fr-CA"/>
        </w:rPr>
        <w:t xml:space="preserve"> montés sur des surfaces à finition mate ou non réfléchissante afin de minimiser l</w:t>
      </w:r>
      <w:r w:rsidR="009E20CA">
        <w:rPr>
          <w:lang w:val="fr-CA"/>
        </w:rPr>
        <w:t>’</w:t>
      </w:r>
      <w:r w:rsidRPr="004A669E">
        <w:rPr>
          <w:lang w:val="fr-CA"/>
        </w:rPr>
        <w:t>éblouissement et de soutenir la lisibilité, sauf lorsque des surfaces de montage rétroréfléchissantes sont requises pour des raisons de sécurité ou d</w:t>
      </w:r>
      <w:r w:rsidR="009E20CA">
        <w:rPr>
          <w:lang w:val="fr-CA"/>
        </w:rPr>
        <w:t>’</w:t>
      </w:r>
      <w:r w:rsidRPr="004A669E">
        <w:rPr>
          <w:lang w:val="fr-CA"/>
        </w:rPr>
        <w:t>exploitation (</w:t>
      </w:r>
      <w:r w:rsidR="0006327B" w:rsidRPr="004A669E">
        <w:rPr>
          <w:lang w:val="fr-CA"/>
        </w:rPr>
        <w:t>p</w:t>
      </w:r>
      <w:r w:rsidR="0006327B">
        <w:rPr>
          <w:lang w:val="fr-CA"/>
        </w:rPr>
        <w:t>.</w:t>
      </w:r>
      <w:r w:rsidR="006A7DB9">
        <w:rPr>
          <w:lang w:val="fr-CA"/>
        </w:rPr>
        <w:t xml:space="preserve"> </w:t>
      </w:r>
      <w:r w:rsidR="0006327B">
        <w:rPr>
          <w:lang w:val="fr-CA"/>
        </w:rPr>
        <w:t>ex.,</w:t>
      </w:r>
      <w:r w:rsidR="0006327B" w:rsidRPr="004A669E">
        <w:rPr>
          <w:lang w:val="fr-CA"/>
        </w:rPr>
        <w:t xml:space="preserve"> des</w:t>
      </w:r>
      <w:r w:rsidRPr="004A669E">
        <w:rPr>
          <w:lang w:val="fr-CA"/>
        </w:rPr>
        <w:t xml:space="preserve"> poteaux de signalisation dans des zones </w:t>
      </w:r>
      <w:r w:rsidR="0006327B">
        <w:rPr>
          <w:lang w:val="fr-CA"/>
        </w:rPr>
        <w:t>isol</w:t>
      </w:r>
      <w:r w:rsidR="0006327B">
        <w:rPr>
          <w:rFonts w:cs="Arial"/>
          <w:lang w:val="fr-CA"/>
        </w:rPr>
        <w:t>é</w:t>
      </w:r>
      <w:r w:rsidR="00D6336E">
        <w:rPr>
          <w:rFonts w:cs="Arial"/>
          <w:lang w:val="fr-CA"/>
        </w:rPr>
        <w:t>e</w:t>
      </w:r>
      <w:r w:rsidRPr="004A669E">
        <w:rPr>
          <w:lang w:val="fr-CA"/>
        </w:rPr>
        <w:t>s, des panneaux routiers ou des points d</w:t>
      </w:r>
      <w:r w:rsidR="009E20CA">
        <w:rPr>
          <w:lang w:val="fr-CA"/>
        </w:rPr>
        <w:t>’</w:t>
      </w:r>
      <w:r w:rsidRPr="004A669E">
        <w:rPr>
          <w:lang w:val="fr-CA"/>
        </w:rPr>
        <w:t>accès d</w:t>
      </w:r>
      <w:r w:rsidR="009E20CA">
        <w:rPr>
          <w:lang w:val="fr-CA"/>
        </w:rPr>
        <w:t>’</w:t>
      </w:r>
      <w:r w:rsidRPr="004A669E">
        <w:rPr>
          <w:lang w:val="fr-CA"/>
        </w:rPr>
        <w:t>urgence);</w:t>
      </w:r>
    </w:p>
    <w:p w14:paraId="5F56ACD4" w14:textId="32D939B3" w:rsidR="009A277E" w:rsidRPr="004A669E" w:rsidRDefault="00461F84" w:rsidP="009A277E">
      <w:pPr>
        <w:pStyle w:val="ListRef"/>
        <w:ind w:left="1066" w:firstLine="0"/>
        <w:rPr>
          <w:lang w:val="fr-CA"/>
        </w:rPr>
      </w:pPr>
      <w:r>
        <w:rPr>
          <w:rStyle w:val="EmphasisUseSparingly"/>
          <w:lang w:val="fr-CA"/>
        </w:rPr>
        <w:t>Remarque</w:t>
      </w:r>
      <w:r w:rsidR="001C5600">
        <w:rPr>
          <w:rStyle w:val="EmphasisUseSparingly"/>
          <w:lang w:val="fr-CA"/>
        </w:rPr>
        <w:t> </w:t>
      </w:r>
      <w:r w:rsidR="009A277E" w:rsidRPr="004A669E">
        <w:rPr>
          <w:rStyle w:val="EmphasisUseSparingly"/>
          <w:lang w:val="fr-CA"/>
        </w:rPr>
        <w:t>:</w:t>
      </w:r>
      <w:r w:rsidR="009A277E" w:rsidRPr="004A669E">
        <w:rPr>
          <w:lang w:val="fr-CA"/>
        </w:rPr>
        <w:t xml:space="preserve"> Dans la plupart des environnements extérieurs, les panneaux d</w:t>
      </w:r>
      <w:r>
        <w:rPr>
          <w:lang w:val="fr-CA"/>
        </w:rPr>
        <w:t>evrai</w:t>
      </w:r>
      <w:r w:rsidR="009A277E" w:rsidRPr="004A669E">
        <w:rPr>
          <w:lang w:val="fr-CA"/>
        </w:rPr>
        <w:t xml:space="preserve">ent être fixés sur des matériaux tels que du métal mate, du bois ou des poteaux en aluminium poudré. Le montage rétroréfléchissant est généralement réservé aux panneaux pour véhicules ou aux endroits </w:t>
      </w:r>
      <w:r>
        <w:rPr>
          <w:lang w:val="fr-CA"/>
        </w:rPr>
        <w:t>isol</w:t>
      </w:r>
      <w:r>
        <w:rPr>
          <w:rFonts w:cs="Arial"/>
          <w:lang w:val="fr-CA"/>
        </w:rPr>
        <w:t>é</w:t>
      </w:r>
      <w:r w:rsidR="009A277E" w:rsidRPr="004A669E">
        <w:rPr>
          <w:lang w:val="fr-CA"/>
        </w:rPr>
        <w:t>s où la visibilité nocturne est cruciale.</w:t>
      </w:r>
    </w:p>
    <w:p w14:paraId="38CBCB70" w14:textId="76947CE0" w:rsidR="009A277E" w:rsidRPr="00722024" w:rsidRDefault="009A277E" w:rsidP="003F66F0">
      <w:pPr>
        <w:pStyle w:val="ListRef"/>
        <w:numPr>
          <w:ilvl w:val="0"/>
          <w:numId w:val="45"/>
        </w:numPr>
        <w:rPr>
          <w:lang w:val="fr-CA"/>
        </w:rPr>
      </w:pPr>
      <w:proofErr w:type="gramStart"/>
      <w:r w:rsidRPr="004A669E">
        <w:rPr>
          <w:lang w:val="fr-CA"/>
        </w:rPr>
        <w:t>être</w:t>
      </w:r>
      <w:proofErr w:type="gramEnd"/>
      <w:r w:rsidRPr="004A669E">
        <w:rPr>
          <w:lang w:val="fr-CA"/>
        </w:rPr>
        <w:t xml:space="preserve"> fabriquées </w:t>
      </w:r>
      <w:r w:rsidR="00045BD2">
        <w:rPr>
          <w:lang w:val="fr-CA"/>
        </w:rPr>
        <w:t>à</w:t>
      </w:r>
      <w:r w:rsidR="000023F9">
        <w:rPr>
          <w:lang w:val="fr-CA"/>
        </w:rPr>
        <w:t xml:space="preserve"> partir de</w:t>
      </w:r>
      <w:r w:rsidRPr="004A669E">
        <w:rPr>
          <w:lang w:val="fr-CA"/>
        </w:rPr>
        <w:t xml:space="preserve"> matériaux durables et résistants à l</w:t>
      </w:r>
      <w:r w:rsidR="009E20CA">
        <w:rPr>
          <w:lang w:val="fr-CA"/>
        </w:rPr>
        <w:t>’</w:t>
      </w:r>
      <w:r w:rsidRPr="004A669E">
        <w:rPr>
          <w:lang w:val="fr-CA"/>
        </w:rPr>
        <w:t>usure ou au vandalisme (voir aussi l</w:t>
      </w:r>
      <w:r w:rsidR="00F369F8">
        <w:rPr>
          <w:lang w:val="fr-CA"/>
        </w:rPr>
        <w:t>’article</w:t>
      </w:r>
      <w:r w:rsidRPr="004A669E">
        <w:rPr>
          <w:lang w:val="fr-CA"/>
        </w:rPr>
        <w:t xml:space="preserve"> </w:t>
      </w:r>
      <w:r w:rsidR="00164634">
        <w:fldChar w:fldCharType="begin"/>
      </w:r>
      <w:r w:rsidR="00164634" w:rsidRPr="007C0FBA">
        <w:rPr>
          <w:lang w:val="fr-CA"/>
        </w:rPr>
        <w:instrText>HYPERLINK \l "_Tactile_sign_design"</w:instrText>
      </w:r>
      <w:r w:rsidR="00164634">
        <w:fldChar w:fldCharType="separate"/>
      </w:r>
      <w:r w:rsidR="00164634" w:rsidRPr="00722024">
        <w:rPr>
          <w:rStyle w:val="Hyperlink"/>
          <w:lang w:val="fr-CA"/>
        </w:rPr>
        <w:t>1</w:t>
      </w:r>
      <w:r w:rsidR="00EB26ED">
        <w:rPr>
          <w:rStyle w:val="Hyperlink"/>
          <w:lang w:val="fr-CA"/>
        </w:rPr>
        <w:t>2</w:t>
      </w:r>
      <w:r w:rsidR="00164634" w:rsidRPr="00722024">
        <w:rPr>
          <w:rStyle w:val="Hyperlink"/>
          <w:lang w:val="fr-CA"/>
        </w:rPr>
        <w:t>.7.1</w:t>
      </w:r>
      <w:r w:rsidR="00164634">
        <w:fldChar w:fldCharType="end"/>
      </w:r>
      <w:r w:rsidRPr="00722024">
        <w:rPr>
          <w:lang w:val="fr-CA"/>
        </w:rPr>
        <w:t>);</w:t>
      </w:r>
    </w:p>
    <w:p w14:paraId="495E0D03" w14:textId="12C28FCD" w:rsidR="009A277E" w:rsidRPr="00722024" w:rsidRDefault="00347A5C" w:rsidP="009A277E">
      <w:pPr>
        <w:pStyle w:val="ListRef"/>
        <w:ind w:left="1066" w:firstLine="0"/>
        <w:rPr>
          <w:lang w:val="fr-CA"/>
        </w:rPr>
      </w:pPr>
      <w:r>
        <w:rPr>
          <w:rStyle w:val="EmphasisUseSparingly"/>
          <w:lang w:val="fr-CA"/>
        </w:rPr>
        <w:t>Remarque</w:t>
      </w:r>
      <w:r w:rsidR="001C5600">
        <w:rPr>
          <w:rStyle w:val="EmphasisUseSparingly"/>
          <w:lang w:val="fr-CA"/>
        </w:rPr>
        <w:t> </w:t>
      </w:r>
      <w:r w:rsidR="009A277E" w:rsidRPr="00722024">
        <w:rPr>
          <w:rStyle w:val="EmphasisUseSparingly"/>
          <w:lang w:val="fr-CA"/>
        </w:rPr>
        <w:t>:</w:t>
      </w:r>
      <w:r w:rsidR="009A277E" w:rsidRPr="00722024">
        <w:rPr>
          <w:lang w:val="fr-CA"/>
        </w:rPr>
        <w:t xml:space="preserve"> Les matériaux d</w:t>
      </w:r>
      <w:r>
        <w:rPr>
          <w:lang w:val="fr-CA"/>
        </w:rPr>
        <w:t>evraient</w:t>
      </w:r>
      <w:r w:rsidR="009A277E" w:rsidRPr="00722024">
        <w:rPr>
          <w:lang w:val="fr-CA"/>
        </w:rPr>
        <w:t xml:space="preserve"> être </w:t>
      </w:r>
      <w:r w:rsidR="00286478">
        <w:rPr>
          <w:lang w:val="fr-CA"/>
        </w:rPr>
        <w:t>choisi</w:t>
      </w:r>
      <w:r w:rsidR="009A277E" w:rsidRPr="00722024">
        <w:rPr>
          <w:lang w:val="fr-CA"/>
        </w:rPr>
        <w:t>s en fonction des conditions environnementales et de l</w:t>
      </w:r>
      <w:r w:rsidR="009E20CA">
        <w:rPr>
          <w:lang w:val="fr-CA"/>
        </w:rPr>
        <w:t>’</w:t>
      </w:r>
      <w:r w:rsidR="009A277E" w:rsidRPr="00722024">
        <w:rPr>
          <w:lang w:val="fr-CA"/>
        </w:rPr>
        <w:t xml:space="preserve">interaction </w:t>
      </w:r>
      <w:r w:rsidR="00286478">
        <w:rPr>
          <w:lang w:val="fr-CA"/>
        </w:rPr>
        <w:t xml:space="preserve">prévue avec le </w:t>
      </w:r>
      <w:r w:rsidR="009A277E" w:rsidRPr="00722024">
        <w:rPr>
          <w:lang w:val="fr-CA"/>
        </w:rPr>
        <w:t>publi</w:t>
      </w:r>
      <w:r w:rsidR="00AA712C">
        <w:rPr>
          <w:lang w:val="fr-CA"/>
        </w:rPr>
        <w:t>c</w:t>
      </w:r>
      <w:r w:rsidR="009A277E" w:rsidRPr="00722024">
        <w:rPr>
          <w:lang w:val="fr-CA"/>
        </w:rPr>
        <w:t xml:space="preserve">. Les </w:t>
      </w:r>
      <w:r w:rsidR="00D552C2">
        <w:rPr>
          <w:lang w:val="fr-CA"/>
        </w:rPr>
        <w:t>zones</w:t>
      </w:r>
      <w:r w:rsidR="009A277E" w:rsidRPr="00722024">
        <w:rPr>
          <w:lang w:val="fr-CA"/>
        </w:rPr>
        <w:t xml:space="preserve"> extérieur</w:t>
      </w:r>
      <w:r w:rsidR="00045BD2">
        <w:rPr>
          <w:lang w:val="fr-CA"/>
        </w:rPr>
        <w:t>e</w:t>
      </w:r>
      <w:r w:rsidR="009A277E" w:rsidRPr="00722024">
        <w:rPr>
          <w:lang w:val="fr-CA"/>
        </w:rPr>
        <w:t xml:space="preserve">s et </w:t>
      </w:r>
      <w:r w:rsidR="00D552C2">
        <w:rPr>
          <w:lang w:val="fr-CA"/>
        </w:rPr>
        <w:t xml:space="preserve">très fréquentées </w:t>
      </w:r>
      <w:r w:rsidR="009A277E" w:rsidRPr="00722024">
        <w:rPr>
          <w:lang w:val="fr-CA"/>
        </w:rPr>
        <w:t xml:space="preserve">peuvent nécessiter des finitions résistantes aux UV, aux intempéries ou </w:t>
      </w:r>
      <w:r w:rsidR="00B71790">
        <w:rPr>
          <w:lang w:val="fr-CA"/>
        </w:rPr>
        <w:t xml:space="preserve">aux </w:t>
      </w:r>
      <w:r w:rsidR="009A277E" w:rsidRPr="00722024">
        <w:rPr>
          <w:lang w:val="fr-CA"/>
        </w:rPr>
        <w:t>graffiti</w:t>
      </w:r>
      <w:r w:rsidR="00B71790">
        <w:rPr>
          <w:lang w:val="fr-CA"/>
        </w:rPr>
        <w:t>s,</w:t>
      </w:r>
      <w:r w:rsidR="009A277E" w:rsidRPr="00722024">
        <w:rPr>
          <w:lang w:val="fr-CA"/>
        </w:rPr>
        <w:t xml:space="preserve"> ainsi que des systèmes de montage inviolables.</w:t>
      </w:r>
    </w:p>
    <w:p w14:paraId="3825F5D2" w14:textId="2B1331C8" w:rsidR="009A277E" w:rsidRPr="00610DCD" w:rsidRDefault="009A277E" w:rsidP="003F66F0">
      <w:pPr>
        <w:pStyle w:val="ListRef"/>
        <w:numPr>
          <w:ilvl w:val="0"/>
          <w:numId w:val="45"/>
        </w:numPr>
        <w:rPr>
          <w:lang w:val="fr-CA"/>
        </w:rPr>
      </w:pPr>
      <w:proofErr w:type="gramStart"/>
      <w:r w:rsidRPr="00722024">
        <w:rPr>
          <w:lang w:val="fr-CA"/>
        </w:rPr>
        <w:t>être</w:t>
      </w:r>
      <w:proofErr w:type="gramEnd"/>
      <w:r w:rsidRPr="00722024">
        <w:rPr>
          <w:lang w:val="fr-CA"/>
        </w:rPr>
        <w:t xml:space="preserve"> appliqué</w:t>
      </w:r>
      <w:r w:rsidR="00856A58">
        <w:rPr>
          <w:lang w:val="fr-CA"/>
        </w:rPr>
        <w:t>s</w:t>
      </w:r>
      <w:r w:rsidRPr="00722024">
        <w:rPr>
          <w:lang w:val="fr-CA"/>
        </w:rPr>
        <w:t xml:space="preserve"> (fixé</w:t>
      </w:r>
      <w:r w:rsidR="00856A58">
        <w:rPr>
          <w:lang w:val="fr-CA"/>
        </w:rPr>
        <w:t>s</w:t>
      </w:r>
      <w:r w:rsidRPr="00722024">
        <w:rPr>
          <w:lang w:val="fr-CA"/>
        </w:rPr>
        <w:t xml:space="preserve">, </w:t>
      </w:r>
      <w:r w:rsidR="00856A58">
        <w:rPr>
          <w:lang w:val="fr-CA"/>
        </w:rPr>
        <w:t>attach</w:t>
      </w:r>
      <w:r w:rsidR="00856A58">
        <w:rPr>
          <w:rFonts w:cs="Arial"/>
          <w:lang w:val="fr-CA"/>
        </w:rPr>
        <w:t>é</w:t>
      </w:r>
      <w:r w:rsidR="00856A58">
        <w:rPr>
          <w:lang w:val="fr-CA"/>
        </w:rPr>
        <w:t>s</w:t>
      </w:r>
      <w:r w:rsidRPr="00722024">
        <w:rPr>
          <w:lang w:val="fr-CA"/>
        </w:rPr>
        <w:t>, monté</w:t>
      </w:r>
      <w:r w:rsidR="00856A58">
        <w:rPr>
          <w:lang w:val="fr-CA"/>
        </w:rPr>
        <w:t>s</w:t>
      </w:r>
      <w:r w:rsidRPr="00722024">
        <w:rPr>
          <w:lang w:val="fr-CA"/>
        </w:rPr>
        <w:t>, collé</w:t>
      </w:r>
      <w:r w:rsidR="00856A58">
        <w:rPr>
          <w:lang w:val="fr-CA"/>
        </w:rPr>
        <w:t>s</w:t>
      </w:r>
      <w:r w:rsidRPr="00722024">
        <w:rPr>
          <w:lang w:val="fr-CA"/>
        </w:rPr>
        <w:t>) à l</w:t>
      </w:r>
      <w:r w:rsidR="009E20CA">
        <w:rPr>
          <w:lang w:val="fr-CA"/>
        </w:rPr>
        <w:t>’</w:t>
      </w:r>
      <w:r w:rsidRPr="00722024">
        <w:rPr>
          <w:lang w:val="fr-CA"/>
        </w:rPr>
        <w:t>aide de matériaux durables et résistants à l</w:t>
      </w:r>
      <w:r w:rsidR="009E20CA">
        <w:rPr>
          <w:lang w:val="fr-CA"/>
        </w:rPr>
        <w:t>’</w:t>
      </w:r>
      <w:r w:rsidRPr="00722024">
        <w:rPr>
          <w:lang w:val="fr-CA"/>
        </w:rPr>
        <w:t>usure ou au vandalisme (voir aussi l</w:t>
      </w:r>
      <w:r w:rsidR="00856A58">
        <w:rPr>
          <w:lang w:val="fr-CA"/>
        </w:rPr>
        <w:t>’article</w:t>
      </w:r>
      <w:r w:rsidRPr="00722024">
        <w:rPr>
          <w:lang w:val="fr-CA"/>
        </w:rPr>
        <w:t xml:space="preserve"> </w:t>
      </w:r>
      <w:r w:rsidR="00164634">
        <w:fldChar w:fldCharType="begin"/>
      </w:r>
      <w:r w:rsidR="00164634" w:rsidRPr="007C0FBA">
        <w:rPr>
          <w:lang w:val="fr-CA"/>
        </w:rPr>
        <w:instrText>HYPERLINK \l "_Conception_et_construction"</w:instrText>
      </w:r>
      <w:r w:rsidR="00164634">
        <w:fldChar w:fldCharType="separate"/>
      </w:r>
      <w:r w:rsidR="00164634" w:rsidRPr="00610DCD">
        <w:rPr>
          <w:rStyle w:val="Hyperlink"/>
          <w:lang w:val="fr-CA"/>
        </w:rPr>
        <w:t>1</w:t>
      </w:r>
      <w:r w:rsidR="00EB26ED">
        <w:rPr>
          <w:rStyle w:val="Hyperlink"/>
          <w:lang w:val="fr-CA"/>
        </w:rPr>
        <w:t>2</w:t>
      </w:r>
      <w:r w:rsidR="00164634" w:rsidRPr="00610DCD">
        <w:rPr>
          <w:rStyle w:val="Hyperlink"/>
          <w:lang w:val="fr-CA"/>
        </w:rPr>
        <w:t>.7.1</w:t>
      </w:r>
      <w:r w:rsidR="00164634">
        <w:fldChar w:fldCharType="end"/>
      </w:r>
      <w:r w:rsidRPr="00610DCD">
        <w:rPr>
          <w:lang w:val="fr-CA"/>
        </w:rPr>
        <w:t>);</w:t>
      </w:r>
    </w:p>
    <w:p w14:paraId="235448F1" w14:textId="49529FC7" w:rsidR="009A277E" w:rsidRPr="00610DCD" w:rsidRDefault="009A277E" w:rsidP="003F66F0">
      <w:pPr>
        <w:pStyle w:val="ListRef"/>
        <w:numPr>
          <w:ilvl w:val="0"/>
          <w:numId w:val="45"/>
        </w:numPr>
        <w:rPr>
          <w:lang w:val="fr-CA"/>
        </w:rPr>
      </w:pPr>
      <w:proofErr w:type="gramStart"/>
      <w:r w:rsidRPr="00610DCD">
        <w:rPr>
          <w:lang w:val="fr-CA"/>
        </w:rPr>
        <w:t>être</w:t>
      </w:r>
      <w:proofErr w:type="gramEnd"/>
      <w:r w:rsidRPr="00610DCD">
        <w:rPr>
          <w:lang w:val="fr-CA"/>
        </w:rPr>
        <w:t xml:space="preserve"> constamment éclairés et exempts d</w:t>
      </w:r>
      <w:r w:rsidR="009E20CA">
        <w:rPr>
          <w:lang w:val="fr-CA"/>
        </w:rPr>
        <w:t>’</w:t>
      </w:r>
      <w:r w:rsidRPr="00610DCD">
        <w:rPr>
          <w:lang w:val="fr-CA"/>
        </w:rPr>
        <w:t>ombres sur toute leur surface dans les environnements intérieurs et extérieurs où un éclairage contrôlé est possible;</w:t>
      </w:r>
    </w:p>
    <w:p w14:paraId="1CE44A4E" w14:textId="5BD1E4AC" w:rsidR="006F424E" w:rsidRDefault="00783A4B" w:rsidP="003F66F0">
      <w:pPr>
        <w:pStyle w:val="ListRef"/>
        <w:numPr>
          <w:ilvl w:val="0"/>
          <w:numId w:val="45"/>
        </w:numPr>
        <w:rPr>
          <w:lang w:val="fr-CA"/>
        </w:rPr>
      </w:pPr>
      <w:proofErr w:type="gramStart"/>
      <w:r>
        <w:rPr>
          <w:lang w:val="fr-CA"/>
        </w:rPr>
        <w:t>d</w:t>
      </w:r>
      <w:r w:rsidR="009A277E" w:rsidRPr="00610DCD">
        <w:rPr>
          <w:lang w:val="fr-CA"/>
        </w:rPr>
        <w:t>ans</w:t>
      </w:r>
      <w:proofErr w:type="gramEnd"/>
      <w:r w:rsidR="009A277E" w:rsidRPr="00610DCD">
        <w:rPr>
          <w:lang w:val="fr-CA"/>
        </w:rPr>
        <w:t xml:space="preserve"> les environnements extérieurs comme les parcs et sentiers, où l</w:t>
      </w:r>
      <w:r w:rsidR="00561899">
        <w:rPr>
          <w:lang w:val="fr-CA"/>
        </w:rPr>
        <w:t>’</w:t>
      </w:r>
      <w:r w:rsidR="009A277E" w:rsidRPr="00610DCD">
        <w:rPr>
          <w:lang w:val="fr-CA"/>
        </w:rPr>
        <w:t>évitement complet des ombres peut ne pas être possible</w:t>
      </w:r>
      <w:r w:rsidR="006F424E">
        <w:rPr>
          <w:lang w:val="fr-CA"/>
        </w:rPr>
        <w:t> :</w:t>
      </w:r>
    </w:p>
    <w:p w14:paraId="58E6D8E4" w14:textId="5E8E13FA" w:rsidR="006F424E" w:rsidRDefault="009A277E" w:rsidP="003F66F0">
      <w:pPr>
        <w:pStyle w:val="ListRef"/>
        <w:numPr>
          <w:ilvl w:val="1"/>
          <w:numId w:val="45"/>
        </w:numPr>
        <w:rPr>
          <w:lang w:val="fr-CA"/>
        </w:rPr>
      </w:pPr>
      <w:proofErr w:type="gramStart"/>
      <w:r w:rsidRPr="00610DCD">
        <w:rPr>
          <w:lang w:val="fr-CA"/>
        </w:rPr>
        <w:t>utilisez</w:t>
      </w:r>
      <w:proofErr w:type="gramEnd"/>
      <w:r w:rsidRPr="00610DCD">
        <w:rPr>
          <w:lang w:val="fr-CA"/>
        </w:rPr>
        <w:t xml:space="preserve"> des </w:t>
      </w:r>
      <w:r w:rsidR="00A5323F">
        <w:rPr>
          <w:lang w:val="fr-CA"/>
        </w:rPr>
        <w:t>conceptions</w:t>
      </w:r>
      <w:r w:rsidRPr="00610DCD">
        <w:rPr>
          <w:lang w:val="fr-CA"/>
        </w:rPr>
        <w:t xml:space="preserve"> à contraste </w:t>
      </w:r>
      <w:r w:rsidR="00C55C76">
        <w:rPr>
          <w:lang w:val="fr-CA"/>
        </w:rPr>
        <w:t xml:space="preserve">élevé </w:t>
      </w:r>
      <w:r w:rsidRPr="00610DCD">
        <w:rPr>
          <w:lang w:val="fr-CA"/>
        </w:rPr>
        <w:t>avec des finitions mates pour réduire l</w:t>
      </w:r>
      <w:r w:rsidR="00561899">
        <w:rPr>
          <w:lang w:val="fr-CA"/>
        </w:rPr>
        <w:t>’</w:t>
      </w:r>
      <w:r w:rsidRPr="00610DCD">
        <w:rPr>
          <w:lang w:val="fr-CA"/>
        </w:rPr>
        <w:t>éblouissement</w:t>
      </w:r>
      <w:r w:rsidR="006F424E">
        <w:rPr>
          <w:lang w:val="fr-CA"/>
        </w:rPr>
        <w:t>;</w:t>
      </w:r>
      <w:r w:rsidRPr="00610DCD">
        <w:rPr>
          <w:lang w:val="fr-CA"/>
        </w:rPr>
        <w:t xml:space="preserve"> et</w:t>
      </w:r>
    </w:p>
    <w:p w14:paraId="68C5D0D8" w14:textId="43D29534" w:rsidR="009A277E" w:rsidRPr="00610DCD" w:rsidRDefault="009A277E" w:rsidP="003F66F0">
      <w:pPr>
        <w:pStyle w:val="ListRef"/>
        <w:numPr>
          <w:ilvl w:val="1"/>
          <w:numId w:val="45"/>
        </w:numPr>
        <w:rPr>
          <w:lang w:val="fr-CA"/>
        </w:rPr>
      </w:pPr>
      <w:proofErr w:type="gramStart"/>
      <w:r w:rsidRPr="00610DCD">
        <w:rPr>
          <w:lang w:val="fr-CA"/>
        </w:rPr>
        <w:lastRenderedPageBreak/>
        <w:t>lorsque</w:t>
      </w:r>
      <w:proofErr w:type="gramEnd"/>
      <w:r w:rsidRPr="00610DCD">
        <w:rPr>
          <w:lang w:val="fr-CA"/>
        </w:rPr>
        <w:t xml:space="preserve"> la juridiction ou la politique opérationnelle l</w:t>
      </w:r>
      <w:r w:rsidR="00561899">
        <w:rPr>
          <w:lang w:val="fr-CA"/>
        </w:rPr>
        <w:t>’</w:t>
      </w:r>
      <w:r w:rsidRPr="00610DCD">
        <w:rPr>
          <w:lang w:val="fr-CA"/>
        </w:rPr>
        <w:t xml:space="preserve">exige, </w:t>
      </w:r>
      <w:r w:rsidR="00683F3F">
        <w:rPr>
          <w:lang w:val="fr-CA"/>
        </w:rPr>
        <w:t xml:space="preserve">ils doivent </w:t>
      </w:r>
      <w:r w:rsidRPr="00610DCD">
        <w:rPr>
          <w:lang w:val="fr-CA"/>
        </w:rPr>
        <w:t>inclu</w:t>
      </w:r>
      <w:r w:rsidR="003B4B37">
        <w:rPr>
          <w:lang w:val="fr-CA"/>
        </w:rPr>
        <w:t>rent</w:t>
      </w:r>
      <w:r w:rsidRPr="00610DCD">
        <w:rPr>
          <w:lang w:val="fr-CA"/>
        </w:rPr>
        <w:t xml:space="preserve"> des éléments rétroréfléchissants pour améliorer la visibilité en conditions de faible luminosité;</w:t>
      </w:r>
    </w:p>
    <w:p w14:paraId="699FEDA7" w14:textId="4193BD61" w:rsidR="009A277E" w:rsidRPr="00610DCD" w:rsidRDefault="001C1E71" w:rsidP="009A277E">
      <w:pPr>
        <w:pStyle w:val="ListRef"/>
        <w:ind w:left="1066" w:firstLine="0"/>
        <w:rPr>
          <w:lang w:val="fr-CA"/>
        </w:rPr>
      </w:pPr>
      <w:r>
        <w:rPr>
          <w:rStyle w:val="EmphasisUseSparingly"/>
          <w:lang w:val="fr-CA"/>
        </w:rPr>
        <w:t>Remarque</w:t>
      </w:r>
      <w:r w:rsidR="001C5600">
        <w:rPr>
          <w:rStyle w:val="EmphasisUseSparingly"/>
          <w:lang w:val="fr-CA"/>
        </w:rPr>
        <w:t> </w:t>
      </w:r>
      <w:r w:rsidR="009A277E" w:rsidRPr="00610DCD">
        <w:rPr>
          <w:lang w:val="fr-CA"/>
        </w:rPr>
        <w:t>: Dans les sites administrés, toute la signalisation extérieure (y compris les panneaux piétonniers et véhiculaires) peut être exigée d</w:t>
      </w:r>
      <w:r w:rsidR="00561899">
        <w:rPr>
          <w:lang w:val="fr-CA"/>
        </w:rPr>
        <w:t>’</w:t>
      </w:r>
      <w:r w:rsidR="009A277E" w:rsidRPr="00610DCD">
        <w:rPr>
          <w:lang w:val="fr-CA"/>
        </w:rPr>
        <w:t>être rétroréfléchissante afin d</w:t>
      </w:r>
      <w:r w:rsidR="00561899">
        <w:rPr>
          <w:lang w:val="fr-CA"/>
        </w:rPr>
        <w:t>’</w:t>
      </w:r>
      <w:r w:rsidR="009A277E" w:rsidRPr="00610DCD">
        <w:rPr>
          <w:lang w:val="fr-CA"/>
        </w:rPr>
        <w:t xml:space="preserve">assurer la visibilité en conditions de faible luminosité. </w:t>
      </w:r>
      <w:r w:rsidR="00901891" w:rsidRPr="00901891">
        <w:rPr>
          <w:lang w:val="fr-CA"/>
        </w:rPr>
        <w:t>Lorsque de telles politiques juridictionnelles ou opérationnelles existent, elles prévalent sur les directives générales fournies dans l</w:t>
      </w:r>
      <w:r w:rsidR="00045BD2">
        <w:rPr>
          <w:lang w:val="fr-CA"/>
        </w:rPr>
        <w:t>e</w:t>
      </w:r>
      <w:r w:rsidR="00901891" w:rsidRPr="00901891">
        <w:rPr>
          <w:lang w:val="fr-CA"/>
        </w:rPr>
        <w:t xml:space="preserve"> présent </w:t>
      </w:r>
      <w:r w:rsidR="00901891">
        <w:rPr>
          <w:lang w:val="fr-CA"/>
        </w:rPr>
        <w:t>article</w:t>
      </w:r>
      <w:r w:rsidR="00901891" w:rsidRPr="00901891">
        <w:rPr>
          <w:lang w:val="fr-CA"/>
        </w:rPr>
        <w:t>.</w:t>
      </w:r>
    </w:p>
    <w:p w14:paraId="376D07BF" w14:textId="77777777" w:rsidR="009A277E" w:rsidRPr="00610DCD" w:rsidRDefault="009A277E" w:rsidP="003F66F0">
      <w:pPr>
        <w:pStyle w:val="ListRef"/>
        <w:numPr>
          <w:ilvl w:val="0"/>
          <w:numId w:val="45"/>
        </w:numPr>
        <w:rPr>
          <w:lang w:val="fr-CA"/>
        </w:rPr>
      </w:pPr>
      <w:proofErr w:type="gramStart"/>
      <w:r w:rsidRPr="00610DCD">
        <w:rPr>
          <w:lang w:val="fr-CA"/>
        </w:rPr>
        <w:t>avoir</w:t>
      </w:r>
      <w:proofErr w:type="gramEnd"/>
      <w:r w:rsidRPr="00610DCD">
        <w:rPr>
          <w:lang w:val="fr-CA"/>
        </w:rPr>
        <w:t xml:space="preserve"> tout le texte et le braille alignés à gauche et présentés horizontalement;</w:t>
      </w:r>
    </w:p>
    <w:p w14:paraId="6CCEE953" w14:textId="35023523" w:rsidR="009A277E" w:rsidRPr="00610DCD" w:rsidRDefault="009A277E" w:rsidP="003F66F0">
      <w:pPr>
        <w:pStyle w:val="ListRef"/>
        <w:numPr>
          <w:ilvl w:val="0"/>
          <w:numId w:val="45"/>
        </w:numPr>
        <w:rPr>
          <w:lang w:val="fr-CA"/>
        </w:rPr>
      </w:pPr>
      <w:proofErr w:type="gramStart"/>
      <w:r w:rsidRPr="00610DCD">
        <w:rPr>
          <w:lang w:val="fr-CA"/>
        </w:rPr>
        <w:t>maintenir</w:t>
      </w:r>
      <w:proofErr w:type="gramEnd"/>
      <w:r w:rsidRPr="00610DCD">
        <w:rPr>
          <w:lang w:val="fr-CA"/>
        </w:rPr>
        <w:t xml:space="preserve"> </w:t>
      </w:r>
      <w:r w:rsidR="00213CB7" w:rsidRPr="00610DCD">
        <w:rPr>
          <w:lang w:val="fr-CA"/>
        </w:rPr>
        <w:t>une conception uniforme ou cohérente</w:t>
      </w:r>
      <w:r w:rsidRPr="00610DCD">
        <w:rPr>
          <w:lang w:val="fr-CA"/>
        </w:rPr>
        <w:t xml:space="preserve"> dans</w:t>
      </w:r>
      <w:r w:rsidR="0078028B">
        <w:rPr>
          <w:lang w:val="fr-CA"/>
        </w:rPr>
        <w:t xml:space="preserve"> l’ensemble d’un</w:t>
      </w:r>
      <w:r w:rsidR="00501107">
        <w:rPr>
          <w:lang w:val="fr-CA"/>
        </w:rPr>
        <w:t xml:space="preserve"> établissement</w:t>
      </w:r>
      <w:r w:rsidRPr="00610DCD">
        <w:rPr>
          <w:lang w:val="fr-CA"/>
        </w:rPr>
        <w:t xml:space="preserve"> pour </w:t>
      </w:r>
      <w:r w:rsidR="00213CB7">
        <w:rPr>
          <w:lang w:val="fr-CA"/>
        </w:rPr>
        <w:t>ceux</w:t>
      </w:r>
      <w:r w:rsidR="00D8103F">
        <w:rPr>
          <w:lang w:val="fr-CA"/>
        </w:rPr>
        <w:t xml:space="preserve"> qui</w:t>
      </w:r>
      <w:r w:rsidRPr="00610DCD">
        <w:rPr>
          <w:lang w:val="fr-CA"/>
        </w:rPr>
        <w:t xml:space="preserve"> fourniss</w:t>
      </w:r>
      <w:r w:rsidR="00045BD2">
        <w:rPr>
          <w:lang w:val="fr-CA"/>
        </w:rPr>
        <w:t>e</w:t>
      </w:r>
      <w:r w:rsidRPr="00610DCD">
        <w:rPr>
          <w:lang w:val="fr-CA"/>
        </w:rPr>
        <w:t>nt des informations équivalentes, assurant la cohérence d</w:t>
      </w:r>
      <w:r w:rsidR="00D8103F">
        <w:rPr>
          <w:lang w:val="fr-CA"/>
        </w:rPr>
        <w:t>ans</w:t>
      </w:r>
      <w:r w:rsidRPr="00610DCD">
        <w:rPr>
          <w:lang w:val="fr-CA"/>
        </w:rPr>
        <w:t xml:space="preserve"> la forme, la couleur,</w:t>
      </w:r>
      <w:r w:rsidR="00201257">
        <w:rPr>
          <w:lang w:val="fr-CA"/>
        </w:rPr>
        <w:t xml:space="preserve"> </w:t>
      </w:r>
      <w:r w:rsidRPr="00610DCD">
        <w:rPr>
          <w:lang w:val="fr-CA"/>
        </w:rPr>
        <w:t>la composition et l</w:t>
      </w:r>
      <w:r w:rsidR="004856E1">
        <w:rPr>
          <w:lang w:val="fr-CA"/>
        </w:rPr>
        <w:t>’emplacement</w:t>
      </w:r>
      <w:r w:rsidRPr="00610DCD">
        <w:rPr>
          <w:lang w:val="fr-CA"/>
        </w:rPr>
        <w:t>;</w:t>
      </w:r>
    </w:p>
    <w:p w14:paraId="58DA052B" w14:textId="00910E0A" w:rsidR="009A277E" w:rsidRPr="00610DCD" w:rsidRDefault="008C58E2" w:rsidP="003F66F0">
      <w:pPr>
        <w:pStyle w:val="ListRef"/>
        <w:numPr>
          <w:ilvl w:val="0"/>
          <w:numId w:val="45"/>
        </w:numPr>
        <w:rPr>
          <w:lang w:val="fr-CA"/>
        </w:rPr>
      </w:pPr>
      <w:proofErr w:type="gramStart"/>
      <w:r>
        <w:rPr>
          <w:lang w:val="fr-CA"/>
        </w:rPr>
        <w:t>avoir</w:t>
      </w:r>
      <w:proofErr w:type="gramEnd"/>
      <w:r w:rsidR="009A277E" w:rsidRPr="00610DCD">
        <w:rPr>
          <w:lang w:val="fr-CA"/>
        </w:rPr>
        <w:t xml:space="preserve"> des surfaces plates, sans compter les caractères tactiles et le braille;</w:t>
      </w:r>
    </w:p>
    <w:p w14:paraId="3F0531BD" w14:textId="17591E25" w:rsidR="009A277E" w:rsidRPr="00610DCD" w:rsidRDefault="009A277E" w:rsidP="003F66F0">
      <w:pPr>
        <w:pStyle w:val="ListRef"/>
        <w:numPr>
          <w:ilvl w:val="0"/>
          <w:numId w:val="45"/>
        </w:numPr>
        <w:rPr>
          <w:lang w:val="fr-CA"/>
        </w:rPr>
      </w:pPr>
      <w:proofErr w:type="gramStart"/>
      <w:r w:rsidRPr="00610DCD">
        <w:rPr>
          <w:lang w:val="fr-CA"/>
        </w:rPr>
        <w:t>minimiser</w:t>
      </w:r>
      <w:proofErr w:type="gramEnd"/>
      <w:r w:rsidRPr="00610DCD">
        <w:rPr>
          <w:lang w:val="fr-CA"/>
        </w:rPr>
        <w:t xml:space="preserve"> l</w:t>
      </w:r>
      <w:r w:rsidR="00561899">
        <w:rPr>
          <w:lang w:val="fr-CA"/>
        </w:rPr>
        <w:t>’</w:t>
      </w:r>
      <w:r w:rsidRPr="00610DCD">
        <w:rPr>
          <w:lang w:val="fr-CA"/>
        </w:rPr>
        <w:t>encombrement et la confusion visuelle aux points d</w:t>
      </w:r>
      <w:r w:rsidR="00561899">
        <w:rPr>
          <w:lang w:val="fr-CA"/>
        </w:rPr>
        <w:t>’</w:t>
      </w:r>
      <w:r w:rsidRPr="00610DCD">
        <w:rPr>
          <w:lang w:val="fr-CA"/>
        </w:rPr>
        <w:t>installation en combinant plusieurs messages en un seul panneau lorsque c</w:t>
      </w:r>
      <w:r w:rsidR="00561899">
        <w:rPr>
          <w:lang w:val="fr-CA"/>
        </w:rPr>
        <w:t>’</w:t>
      </w:r>
      <w:r w:rsidRPr="00610DCD">
        <w:rPr>
          <w:lang w:val="fr-CA"/>
        </w:rPr>
        <w:t>est possible;</w:t>
      </w:r>
    </w:p>
    <w:p w14:paraId="455207CF" w14:textId="352FCDE4" w:rsidR="009A277E" w:rsidRPr="00610DCD" w:rsidRDefault="009A277E" w:rsidP="003F66F0">
      <w:pPr>
        <w:pStyle w:val="ListRef"/>
        <w:numPr>
          <w:ilvl w:val="0"/>
          <w:numId w:val="45"/>
        </w:numPr>
        <w:rPr>
          <w:lang w:val="fr-CA"/>
        </w:rPr>
      </w:pPr>
      <w:proofErr w:type="gramStart"/>
      <w:r w:rsidRPr="00610DCD">
        <w:rPr>
          <w:lang w:val="fr-CA"/>
        </w:rPr>
        <w:t>avoir</w:t>
      </w:r>
      <w:proofErr w:type="gramEnd"/>
      <w:r w:rsidRPr="00610DCD">
        <w:rPr>
          <w:lang w:val="fr-CA"/>
        </w:rPr>
        <w:t xml:space="preserve"> des personnages, symboles et arrière-plans avec une finition coquille d</w:t>
      </w:r>
      <w:r w:rsidR="00561899">
        <w:rPr>
          <w:lang w:val="fr-CA"/>
        </w:rPr>
        <w:t>’</w:t>
      </w:r>
      <w:r w:rsidRPr="00610DCD">
        <w:rPr>
          <w:lang w:val="fr-CA"/>
        </w:rPr>
        <w:t>œuf, mate ou autre éblouissement faible;</w:t>
      </w:r>
    </w:p>
    <w:p w14:paraId="77027C78" w14:textId="2ACC6B41" w:rsidR="009A277E" w:rsidRPr="00610DCD" w:rsidRDefault="009B614C" w:rsidP="003F66F0">
      <w:pPr>
        <w:pStyle w:val="ListRef"/>
        <w:numPr>
          <w:ilvl w:val="0"/>
          <w:numId w:val="45"/>
        </w:numPr>
        <w:rPr>
          <w:lang w:val="fr-CA"/>
        </w:rPr>
      </w:pPr>
      <w:proofErr w:type="gramStart"/>
      <w:r>
        <w:rPr>
          <w:lang w:val="fr-CA"/>
        </w:rPr>
        <w:t>avoir</w:t>
      </w:r>
      <w:proofErr w:type="gramEnd"/>
      <w:r>
        <w:rPr>
          <w:lang w:val="fr-CA"/>
        </w:rPr>
        <w:t xml:space="preserve"> des</w:t>
      </w:r>
      <w:r w:rsidR="009A277E" w:rsidRPr="00610DCD">
        <w:rPr>
          <w:lang w:val="fr-CA"/>
        </w:rPr>
        <w:t xml:space="preserve"> caractères, pictogrammes et symboles</w:t>
      </w:r>
      <w:r>
        <w:rPr>
          <w:lang w:val="fr-CA"/>
        </w:rPr>
        <w:t xml:space="preserve"> </w:t>
      </w:r>
      <w:r w:rsidR="001B4790">
        <w:rPr>
          <w:lang w:val="fr-CA"/>
        </w:rPr>
        <w:t>d</w:t>
      </w:r>
      <w:r>
        <w:rPr>
          <w:lang w:val="fr-CA"/>
        </w:rPr>
        <w:t xml:space="preserve">ont </w:t>
      </w:r>
      <w:r w:rsidR="001B4790">
        <w:rPr>
          <w:lang w:val="fr-CA"/>
        </w:rPr>
        <w:t xml:space="preserve">la </w:t>
      </w:r>
      <w:r w:rsidR="009A277E" w:rsidRPr="00610DCD">
        <w:rPr>
          <w:lang w:val="fr-CA"/>
        </w:rPr>
        <w:t>luminan</w:t>
      </w:r>
      <w:r w:rsidR="00A65DDC">
        <w:rPr>
          <w:lang w:val="fr-CA"/>
        </w:rPr>
        <w:t>ce</w:t>
      </w:r>
      <w:r w:rsidR="009A277E" w:rsidRPr="00610DCD">
        <w:rPr>
          <w:lang w:val="fr-CA"/>
        </w:rPr>
        <w:t xml:space="preserve"> (couleur) </w:t>
      </w:r>
      <w:r w:rsidR="001B4790">
        <w:rPr>
          <w:lang w:val="fr-CA"/>
        </w:rPr>
        <w:t xml:space="preserve">contraste </w:t>
      </w:r>
      <w:r w:rsidR="009A277E" w:rsidRPr="00610DCD">
        <w:rPr>
          <w:lang w:val="fr-CA"/>
        </w:rPr>
        <w:t>d</w:t>
      </w:r>
      <w:r w:rsidR="00561899">
        <w:rPr>
          <w:lang w:val="fr-CA"/>
        </w:rPr>
        <w:t>’</w:t>
      </w:r>
      <w:r w:rsidR="009A277E" w:rsidRPr="00610DCD">
        <w:rPr>
          <w:lang w:val="fr-CA"/>
        </w:rPr>
        <w:t>au moins 70</w:t>
      </w:r>
      <w:r w:rsidR="00D8285E">
        <w:rPr>
          <w:lang w:val="fr-CA"/>
        </w:rPr>
        <w:t> </w:t>
      </w:r>
      <w:r w:rsidR="009A277E" w:rsidRPr="00610DCD">
        <w:rPr>
          <w:lang w:val="fr-CA"/>
        </w:rPr>
        <w:t>%</w:t>
      </w:r>
      <w:r w:rsidR="00A65DDC">
        <w:rPr>
          <w:lang w:val="fr-CA"/>
        </w:rPr>
        <w:t xml:space="preserve"> </w:t>
      </w:r>
      <w:r w:rsidR="00081378">
        <w:rPr>
          <w:lang w:val="fr-CA"/>
        </w:rPr>
        <w:t>avec</w:t>
      </w:r>
      <w:r w:rsidR="005842F2">
        <w:rPr>
          <w:lang w:val="fr-CA"/>
        </w:rPr>
        <w:t xml:space="preserve"> </w:t>
      </w:r>
      <w:r w:rsidR="009A277E" w:rsidRPr="00610DCD">
        <w:rPr>
          <w:lang w:val="fr-CA"/>
        </w:rPr>
        <w:t>leur arrière-plan; et</w:t>
      </w:r>
    </w:p>
    <w:p w14:paraId="356DF37E" w14:textId="1600FB2B" w:rsidR="009A277E" w:rsidRPr="00610DCD" w:rsidRDefault="009A277E" w:rsidP="003F66F0">
      <w:pPr>
        <w:pStyle w:val="ListRef"/>
        <w:numPr>
          <w:ilvl w:val="0"/>
          <w:numId w:val="45"/>
        </w:numPr>
        <w:rPr>
          <w:lang w:val="fr-CA"/>
        </w:rPr>
      </w:pPr>
      <w:proofErr w:type="gramStart"/>
      <w:r w:rsidRPr="00610DCD">
        <w:rPr>
          <w:lang w:val="fr-CA"/>
        </w:rPr>
        <w:t>avoir</w:t>
      </w:r>
      <w:proofErr w:type="gramEnd"/>
      <w:r w:rsidRPr="00610DCD">
        <w:rPr>
          <w:lang w:val="fr-CA"/>
        </w:rPr>
        <w:t xml:space="preserve"> des lettres et des chiffres</w:t>
      </w:r>
      <w:r w:rsidR="001C5600">
        <w:rPr>
          <w:lang w:val="fr-CA"/>
        </w:rPr>
        <w:t> </w:t>
      </w:r>
      <w:r w:rsidRPr="00610DCD">
        <w:rPr>
          <w:lang w:val="fr-CA"/>
        </w:rPr>
        <w:t>:</w:t>
      </w:r>
    </w:p>
    <w:p w14:paraId="5622F1D4" w14:textId="7D5E6FCB" w:rsidR="009A277E" w:rsidRPr="008A69CC" w:rsidRDefault="00EA3F6F" w:rsidP="003F66F0">
      <w:pPr>
        <w:pStyle w:val="ListParagraph"/>
        <w:numPr>
          <w:ilvl w:val="1"/>
          <w:numId w:val="45"/>
        </w:numPr>
        <w:rPr>
          <w:lang w:val="fr-CA"/>
        </w:rPr>
      </w:pPr>
      <w:proofErr w:type="gramStart"/>
      <w:r>
        <w:rPr>
          <w:lang w:val="fr-CA"/>
        </w:rPr>
        <w:t>en</w:t>
      </w:r>
      <w:proofErr w:type="gramEnd"/>
      <w:r>
        <w:rPr>
          <w:lang w:val="fr-CA"/>
        </w:rPr>
        <w:t xml:space="preserve"> </w:t>
      </w:r>
      <w:r w:rsidR="009A277E" w:rsidRPr="008A69CC">
        <w:rPr>
          <w:lang w:val="fr-CA"/>
        </w:rPr>
        <w:t>police sans empattement;</w:t>
      </w:r>
    </w:p>
    <w:p w14:paraId="15A42FAE" w14:textId="1E6B602B" w:rsidR="009A277E" w:rsidRPr="008A69CC" w:rsidRDefault="008A69CC" w:rsidP="003F66F0">
      <w:pPr>
        <w:pStyle w:val="ListParagraph"/>
        <w:numPr>
          <w:ilvl w:val="1"/>
          <w:numId w:val="45"/>
        </w:numPr>
        <w:rPr>
          <w:lang w:val="fr-CA"/>
        </w:rPr>
      </w:pPr>
      <w:proofErr w:type="gramStart"/>
      <w:r>
        <w:rPr>
          <w:lang w:val="fr-CA"/>
        </w:rPr>
        <w:t>qui</w:t>
      </w:r>
      <w:proofErr w:type="gramEnd"/>
      <w:r>
        <w:rPr>
          <w:lang w:val="fr-CA"/>
        </w:rPr>
        <w:t xml:space="preserve"> </w:t>
      </w:r>
      <w:r w:rsidR="009A277E" w:rsidRPr="008A69CC">
        <w:rPr>
          <w:lang w:val="fr-CA"/>
        </w:rPr>
        <w:t>utilise des chiffres arabes;</w:t>
      </w:r>
    </w:p>
    <w:p w14:paraId="56C5DBA2" w14:textId="2A6CAB64" w:rsidR="009A277E" w:rsidRPr="00CD0149" w:rsidRDefault="0008627E" w:rsidP="003F66F0">
      <w:pPr>
        <w:pStyle w:val="ListParagraph"/>
        <w:numPr>
          <w:ilvl w:val="1"/>
          <w:numId w:val="45"/>
        </w:numPr>
        <w:rPr>
          <w:lang w:val="fr-CA"/>
        </w:rPr>
      </w:pPr>
      <w:proofErr w:type="gramStart"/>
      <w:r>
        <w:rPr>
          <w:lang w:val="fr-CA"/>
        </w:rPr>
        <w:t>dont</w:t>
      </w:r>
      <w:proofErr w:type="gramEnd"/>
      <w:r>
        <w:rPr>
          <w:lang w:val="fr-CA"/>
        </w:rPr>
        <w:t xml:space="preserve"> l</w:t>
      </w:r>
      <w:r w:rsidR="00B45C19">
        <w:rPr>
          <w:lang w:val="fr-CA"/>
        </w:rPr>
        <w:t>e</w:t>
      </w:r>
      <w:r w:rsidR="009A277E" w:rsidRPr="00CD0149">
        <w:rPr>
          <w:lang w:val="fr-CA"/>
        </w:rPr>
        <w:t xml:space="preserve"> rapport largeur/hauteur </w:t>
      </w:r>
      <w:r>
        <w:rPr>
          <w:lang w:val="fr-CA"/>
        </w:rPr>
        <w:t xml:space="preserve">est </w:t>
      </w:r>
      <w:r w:rsidR="00B45C19">
        <w:rPr>
          <w:lang w:val="fr-CA"/>
        </w:rPr>
        <w:t xml:space="preserve">compris </w:t>
      </w:r>
      <w:r w:rsidR="009A277E" w:rsidRPr="00CD0149">
        <w:rPr>
          <w:lang w:val="fr-CA"/>
        </w:rPr>
        <w:t>entre 3:5 et 1:1;</w:t>
      </w:r>
    </w:p>
    <w:p w14:paraId="7F87C33E" w14:textId="2843B360" w:rsidR="009A277E" w:rsidRPr="00CD0149" w:rsidRDefault="00F95DDD" w:rsidP="003F66F0">
      <w:pPr>
        <w:pStyle w:val="ListParagraph"/>
        <w:numPr>
          <w:ilvl w:val="1"/>
          <w:numId w:val="45"/>
        </w:numPr>
        <w:rPr>
          <w:lang w:val="fr-CA"/>
        </w:rPr>
      </w:pPr>
      <w:proofErr w:type="gramStart"/>
      <w:r>
        <w:rPr>
          <w:lang w:val="fr-CA"/>
        </w:rPr>
        <w:lastRenderedPageBreak/>
        <w:t>dont</w:t>
      </w:r>
      <w:proofErr w:type="gramEnd"/>
      <w:r>
        <w:rPr>
          <w:lang w:val="fr-CA"/>
        </w:rPr>
        <w:t xml:space="preserve"> l</w:t>
      </w:r>
      <w:r w:rsidR="00B45C19">
        <w:rPr>
          <w:lang w:val="fr-CA"/>
        </w:rPr>
        <w:t>e r</w:t>
      </w:r>
      <w:r w:rsidR="009A277E" w:rsidRPr="00CD0149">
        <w:rPr>
          <w:lang w:val="fr-CA"/>
        </w:rPr>
        <w:t xml:space="preserve">apport </w:t>
      </w:r>
      <w:r>
        <w:rPr>
          <w:lang w:val="fr-CA"/>
        </w:rPr>
        <w:t xml:space="preserve">entre la </w:t>
      </w:r>
      <w:r w:rsidR="009A277E" w:rsidRPr="00CD0149">
        <w:rPr>
          <w:lang w:val="fr-CA"/>
        </w:rPr>
        <w:t xml:space="preserve">largeur </w:t>
      </w:r>
      <w:r>
        <w:rPr>
          <w:lang w:val="fr-CA"/>
        </w:rPr>
        <w:t>et la</w:t>
      </w:r>
      <w:r w:rsidR="009A277E" w:rsidRPr="00CD0149">
        <w:rPr>
          <w:lang w:val="fr-CA"/>
        </w:rPr>
        <w:t xml:space="preserve"> hauteur </w:t>
      </w:r>
      <w:r>
        <w:rPr>
          <w:lang w:val="fr-CA"/>
        </w:rPr>
        <w:t xml:space="preserve">des traits </w:t>
      </w:r>
      <w:r w:rsidR="00D05154">
        <w:rPr>
          <w:lang w:val="fr-CA"/>
        </w:rPr>
        <w:t xml:space="preserve">est compris </w:t>
      </w:r>
      <w:r w:rsidR="009A277E" w:rsidRPr="00CD0149">
        <w:rPr>
          <w:lang w:val="fr-CA"/>
        </w:rPr>
        <w:t>entre 1:5 et 1:10;</w:t>
      </w:r>
    </w:p>
    <w:p w14:paraId="165A2939" w14:textId="252597D4" w:rsidR="009A277E" w:rsidRPr="00CD0149" w:rsidRDefault="00266B60" w:rsidP="003F66F0">
      <w:pPr>
        <w:pStyle w:val="ListParagraph"/>
        <w:numPr>
          <w:ilvl w:val="1"/>
          <w:numId w:val="45"/>
        </w:numPr>
        <w:rPr>
          <w:lang w:val="fr-CA"/>
        </w:rPr>
      </w:pPr>
      <w:proofErr w:type="gramStart"/>
      <w:r>
        <w:rPr>
          <w:lang w:val="fr-CA"/>
        </w:rPr>
        <w:t>dont</w:t>
      </w:r>
      <w:proofErr w:type="gramEnd"/>
      <w:r w:rsidR="009A277E" w:rsidRPr="00CD0149">
        <w:rPr>
          <w:lang w:val="fr-CA"/>
        </w:rPr>
        <w:t xml:space="preserve"> la hauteur </w:t>
      </w:r>
      <w:r>
        <w:rPr>
          <w:lang w:val="fr-CA"/>
        </w:rPr>
        <w:t>des</w:t>
      </w:r>
      <w:r w:rsidR="009A277E" w:rsidRPr="00CD0149">
        <w:rPr>
          <w:lang w:val="fr-CA"/>
        </w:rPr>
        <w:t xml:space="preserve"> caractère</w:t>
      </w:r>
      <w:r>
        <w:rPr>
          <w:lang w:val="fr-CA"/>
        </w:rPr>
        <w:t xml:space="preserve">s est proportionnelle </w:t>
      </w:r>
      <w:r w:rsidR="009A277E" w:rsidRPr="00CD0149">
        <w:rPr>
          <w:lang w:val="fr-CA"/>
        </w:rPr>
        <w:t xml:space="preserve">à la distance de </w:t>
      </w:r>
      <w:r w:rsidR="00AF046C" w:rsidRPr="00CD0149">
        <w:rPr>
          <w:lang w:val="fr-CA"/>
        </w:rPr>
        <w:t>vis</w:t>
      </w:r>
      <w:r w:rsidR="00AF046C">
        <w:rPr>
          <w:lang w:val="fr-CA"/>
        </w:rPr>
        <w:t>ibilité</w:t>
      </w:r>
      <w:r w:rsidR="009A277E" w:rsidRPr="00CD0149">
        <w:rPr>
          <w:lang w:val="fr-CA"/>
        </w:rPr>
        <w:t>, conformément à CSA/ASC B651:23,</w:t>
      </w:r>
      <w:r w:rsidR="007C52B5">
        <w:rPr>
          <w:lang w:val="fr-CA"/>
        </w:rPr>
        <w:t xml:space="preserve"> l’article</w:t>
      </w:r>
      <w:r w:rsidR="009A277E" w:rsidRPr="00CD0149">
        <w:rPr>
          <w:lang w:val="fr-CA"/>
        </w:rPr>
        <w:t xml:space="preserve"> 4.6.3, </w:t>
      </w:r>
      <w:r w:rsidR="00D2419E">
        <w:rPr>
          <w:lang w:val="fr-CA"/>
        </w:rPr>
        <w:t>t</w:t>
      </w:r>
      <w:r w:rsidR="009A277E" w:rsidRPr="00CD0149">
        <w:rPr>
          <w:lang w:val="fr-CA"/>
        </w:rPr>
        <w:t>ableau 7;</w:t>
      </w:r>
    </w:p>
    <w:p w14:paraId="1BEC2163" w14:textId="3E0422F3" w:rsidR="009A277E" w:rsidRPr="00CD0149" w:rsidRDefault="00652131" w:rsidP="003F66F0">
      <w:pPr>
        <w:pStyle w:val="ListParagraph"/>
        <w:numPr>
          <w:ilvl w:val="1"/>
          <w:numId w:val="45"/>
        </w:numPr>
        <w:rPr>
          <w:lang w:val="fr-CA"/>
        </w:rPr>
      </w:pPr>
      <w:proofErr w:type="gramStart"/>
      <w:r>
        <w:rPr>
          <w:lang w:val="fr-CA"/>
        </w:rPr>
        <w:t>dont</w:t>
      </w:r>
      <w:proofErr w:type="gramEnd"/>
      <w:r>
        <w:rPr>
          <w:lang w:val="fr-CA"/>
        </w:rPr>
        <w:t xml:space="preserve"> la taille</w:t>
      </w:r>
      <w:r w:rsidR="0008627E">
        <w:rPr>
          <w:lang w:val="fr-CA"/>
        </w:rPr>
        <w:t xml:space="preserve"> est</w:t>
      </w:r>
      <w:r w:rsidR="009A277E" w:rsidRPr="00CD0149">
        <w:rPr>
          <w:lang w:val="fr-CA"/>
        </w:rPr>
        <w:t xml:space="preserve"> mesuré</w:t>
      </w:r>
      <w:r w:rsidR="00C65F20">
        <w:rPr>
          <w:lang w:val="fr-CA"/>
        </w:rPr>
        <w:t>e</w:t>
      </w:r>
      <w:r w:rsidR="009A277E" w:rsidRPr="00CD0149">
        <w:rPr>
          <w:lang w:val="fr-CA"/>
        </w:rPr>
        <w:t xml:space="preserve"> à </w:t>
      </w:r>
      <w:r w:rsidR="0008627E">
        <w:rPr>
          <w:lang w:val="fr-CA"/>
        </w:rPr>
        <w:t>partir de la h</w:t>
      </w:r>
      <w:r w:rsidR="009A277E" w:rsidRPr="00CD0149">
        <w:rPr>
          <w:lang w:val="fr-CA"/>
        </w:rPr>
        <w:t>auteur d</w:t>
      </w:r>
      <w:r w:rsidR="00561899">
        <w:rPr>
          <w:lang w:val="fr-CA"/>
        </w:rPr>
        <w:t>’</w:t>
      </w:r>
      <w:r w:rsidR="009A277E" w:rsidRPr="00CD0149">
        <w:rPr>
          <w:lang w:val="fr-CA"/>
        </w:rPr>
        <w:t>un « X » majuscule;</w:t>
      </w:r>
    </w:p>
    <w:p w14:paraId="4CC996D9" w14:textId="7BC486CA" w:rsidR="009A277E" w:rsidRPr="00CD0149" w:rsidRDefault="00B053DA" w:rsidP="003F66F0">
      <w:pPr>
        <w:pStyle w:val="ListParagraph"/>
        <w:numPr>
          <w:ilvl w:val="1"/>
          <w:numId w:val="45"/>
        </w:numPr>
        <w:rPr>
          <w:lang w:val="fr-CA"/>
        </w:rPr>
      </w:pPr>
      <w:proofErr w:type="gramStart"/>
      <w:r>
        <w:rPr>
          <w:lang w:val="fr-CA"/>
        </w:rPr>
        <w:t>qui</w:t>
      </w:r>
      <w:proofErr w:type="gramEnd"/>
      <w:r>
        <w:rPr>
          <w:lang w:val="fr-CA"/>
        </w:rPr>
        <w:t xml:space="preserve"> utilisent</w:t>
      </w:r>
      <w:r w:rsidR="009A277E" w:rsidRPr="00CD0149">
        <w:rPr>
          <w:lang w:val="fr-CA"/>
        </w:rPr>
        <w:t xml:space="preserve"> un mélange de lettres majuscules et minuscules (c</w:t>
      </w:r>
      <w:r w:rsidR="00070DCB">
        <w:rPr>
          <w:lang w:val="fr-CA"/>
        </w:rPr>
        <w:t>.</w:t>
      </w:r>
      <w:r w:rsidR="009A277E" w:rsidRPr="00CD0149">
        <w:rPr>
          <w:lang w:val="fr-CA"/>
        </w:rPr>
        <w:t>-à</w:t>
      </w:r>
      <w:r>
        <w:rPr>
          <w:lang w:val="fr-CA"/>
        </w:rPr>
        <w:t xml:space="preserve">-d. </w:t>
      </w:r>
      <w:r w:rsidR="009A277E" w:rsidRPr="00CD0149">
        <w:rPr>
          <w:lang w:val="fr-CA"/>
        </w:rPr>
        <w:t xml:space="preserve">ne pas apparaître </w:t>
      </w:r>
      <w:r>
        <w:rPr>
          <w:lang w:val="fr-CA"/>
        </w:rPr>
        <w:t xml:space="preserve">entièrement </w:t>
      </w:r>
      <w:r w:rsidR="009A277E" w:rsidRPr="00CD0149">
        <w:rPr>
          <w:lang w:val="fr-CA"/>
        </w:rPr>
        <w:t>en majuscules);</w:t>
      </w:r>
    </w:p>
    <w:p w14:paraId="7DB84794" w14:textId="3889FED3" w:rsidR="00903457" w:rsidRPr="0068197D" w:rsidRDefault="009A277E" w:rsidP="003F66F0">
      <w:pPr>
        <w:pStyle w:val="ListParagraph"/>
        <w:numPr>
          <w:ilvl w:val="1"/>
          <w:numId w:val="45"/>
        </w:numPr>
        <w:rPr>
          <w:lang w:val="fr-CA"/>
        </w:rPr>
      </w:pPr>
      <w:proofErr w:type="gramStart"/>
      <w:r w:rsidRPr="0068197D">
        <w:rPr>
          <w:lang w:val="fr-CA"/>
        </w:rPr>
        <w:t>ne</w:t>
      </w:r>
      <w:proofErr w:type="gramEnd"/>
      <w:r w:rsidRPr="0068197D">
        <w:rPr>
          <w:lang w:val="fr-CA"/>
        </w:rPr>
        <w:t xml:space="preserve"> </w:t>
      </w:r>
      <w:r w:rsidR="0068197D" w:rsidRPr="0068197D">
        <w:rPr>
          <w:lang w:val="fr-CA"/>
        </w:rPr>
        <w:t xml:space="preserve">sont </w:t>
      </w:r>
      <w:r w:rsidRPr="0068197D">
        <w:rPr>
          <w:lang w:val="fr-CA"/>
        </w:rPr>
        <w:t xml:space="preserve">pas </w:t>
      </w:r>
      <w:r w:rsidR="0068197D" w:rsidRPr="0068197D">
        <w:rPr>
          <w:lang w:val="fr-CA"/>
        </w:rPr>
        <w:t>en</w:t>
      </w:r>
      <w:r w:rsidRPr="0068197D">
        <w:rPr>
          <w:lang w:val="fr-CA"/>
        </w:rPr>
        <w:t xml:space="preserve"> italique; et</w:t>
      </w:r>
    </w:p>
    <w:p w14:paraId="0DE05FEE" w14:textId="68E0AA30" w:rsidR="009A277E" w:rsidRPr="0054096E" w:rsidRDefault="0099284D" w:rsidP="003F66F0">
      <w:pPr>
        <w:pStyle w:val="ListParagraph"/>
        <w:numPr>
          <w:ilvl w:val="1"/>
          <w:numId w:val="45"/>
        </w:numPr>
        <w:rPr>
          <w:lang w:val="fr-CA"/>
        </w:rPr>
      </w:pPr>
      <w:proofErr w:type="gramStart"/>
      <w:r>
        <w:rPr>
          <w:lang w:val="fr-CA"/>
        </w:rPr>
        <w:t>dont</w:t>
      </w:r>
      <w:proofErr w:type="gramEnd"/>
      <w:r w:rsidR="009A277E" w:rsidRPr="0054096E">
        <w:rPr>
          <w:lang w:val="fr-CA"/>
        </w:rPr>
        <w:t xml:space="preserve"> </w:t>
      </w:r>
      <w:r>
        <w:rPr>
          <w:lang w:val="fr-CA"/>
        </w:rPr>
        <w:t>l’</w:t>
      </w:r>
      <w:r w:rsidR="009A277E" w:rsidRPr="0054096E">
        <w:rPr>
          <w:lang w:val="fr-CA"/>
        </w:rPr>
        <w:t xml:space="preserve">espacement entre les lignes de texte </w:t>
      </w:r>
      <w:r>
        <w:rPr>
          <w:lang w:val="fr-CA"/>
        </w:rPr>
        <w:t xml:space="preserve">représente </w:t>
      </w:r>
      <w:r w:rsidR="009A277E" w:rsidRPr="0054096E">
        <w:rPr>
          <w:lang w:val="fr-CA"/>
        </w:rPr>
        <w:t>au moins 25</w:t>
      </w:r>
      <w:r w:rsidR="00C869CA">
        <w:rPr>
          <w:lang w:val="fr-CA"/>
        </w:rPr>
        <w:t> </w:t>
      </w:r>
      <w:r w:rsidR="009A277E" w:rsidRPr="0054096E">
        <w:rPr>
          <w:lang w:val="fr-CA"/>
        </w:rPr>
        <w:t>% à 30</w:t>
      </w:r>
      <w:r w:rsidR="00C869CA">
        <w:rPr>
          <w:lang w:val="fr-CA"/>
        </w:rPr>
        <w:t> </w:t>
      </w:r>
      <w:r w:rsidR="009A277E" w:rsidRPr="0054096E">
        <w:rPr>
          <w:lang w:val="fr-CA"/>
        </w:rPr>
        <w:t>% de la taille du point.</w:t>
      </w:r>
    </w:p>
    <w:p w14:paraId="04FFD8E3" w14:textId="0C77A1B1" w:rsidR="00822FE1" w:rsidRPr="0054096E" w:rsidRDefault="0030553D" w:rsidP="00822FE1">
      <w:pPr>
        <w:pStyle w:val="ListRef"/>
        <w:ind w:left="0" w:firstLine="0"/>
        <w:rPr>
          <w:lang w:val="fr-CA"/>
        </w:rPr>
      </w:pPr>
      <w:r>
        <w:rPr>
          <w:rStyle w:val="EmphasisUseSparingly"/>
          <w:lang w:val="fr-CA"/>
        </w:rPr>
        <w:t>Remarque</w:t>
      </w:r>
      <w:r w:rsidR="00822FE1" w:rsidRPr="0054096E">
        <w:rPr>
          <w:rStyle w:val="EmphasisUseSparingly"/>
          <w:lang w:val="fr-CA"/>
        </w:rPr>
        <w:t xml:space="preserve"> 1</w:t>
      </w:r>
      <w:r w:rsidR="001C5600">
        <w:rPr>
          <w:rStyle w:val="EmphasisUseSparingly"/>
          <w:lang w:val="fr-CA"/>
        </w:rPr>
        <w:t> </w:t>
      </w:r>
      <w:r w:rsidR="00822FE1" w:rsidRPr="0054096E">
        <w:rPr>
          <w:rStyle w:val="EmphasisUseSparingly"/>
          <w:lang w:val="fr-CA"/>
        </w:rPr>
        <w:t>:</w:t>
      </w:r>
      <w:r w:rsidR="00822FE1" w:rsidRPr="0054096E">
        <w:rPr>
          <w:lang w:val="fr-CA"/>
        </w:rPr>
        <w:t xml:space="preserve"> Dans de tels cas, les messages d</w:t>
      </w:r>
      <w:r w:rsidR="002D2070">
        <w:rPr>
          <w:lang w:val="fr-CA"/>
        </w:rPr>
        <w:t>evrai</w:t>
      </w:r>
      <w:r w:rsidR="00822FE1" w:rsidRPr="0054096E">
        <w:rPr>
          <w:lang w:val="fr-CA"/>
        </w:rPr>
        <w:t xml:space="preserve">ent être </w:t>
      </w:r>
      <w:r w:rsidR="00E21EC7">
        <w:rPr>
          <w:lang w:val="fr-CA"/>
        </w:rPr>
        <w:t>class</w:t>
      </w:r>
      <w:r w:rsidR="00822FE1" w:rsidRPr="0054096E">
        <w:rPr>
          <w:lang w:val="fr-CA"/>
        </w:rPr>
        <w:t>és par ordre d</w:t>
      </w:r>
      <w:r w:rsidR="00561899">
        <w:rPr>
          <w:lang w:val="fr-CA"/>
        </w:rPr>
        <w:t>’</w:t>
      </w:r>
      <w:r w:rsidR="00822FE1" w:rsidRPr="0054096E">
        <w:rPr>
          <w:lang w:val="fr-CA"/>
        </w:rPr>
        <w:t xml:space="preserve">importance pour le </w:t>
      </w:r>
      <w:r w:rsidR="00E21EC7">
        <w:rPr>
          <w:lang w:val="fr-CA"/>
        </w:rPr>
        <w:t>grand public</w:t>
      </w:r>
      <w:r w:rsidR="00822FE1" w:rsidRPr="0054096E">
        <w:rPr>
          <w:lang w:val="fr-CA"/>
        </w:rPr>
        <w:t>.</w:t>
      </w:r>
    </w:p>
    <w:p w14:paraId="66302C91" w14:textId="041E13D1" w:rsidR="00822FE1" w:rsidRPr="0054096E" w:rsidRDefault="00C57644" w:rsidP="00822FE1">
      <w:pPr>
        <w:pStyle w:val="ListRef"/>
        <w:ind w:left="0" w:firstLine="0"/>
        <w:rPr>
          <w:lang w:val="fr-CA"/>
        </w:rPr>
      </w:pPr>
      <w:r>
        <w:rPr>
          <w:rStyle w:val="EmphasisUseSparingly"/>
          <w:lang w:val="fr-CA"/>
        </w:rPr>
        <w:t>Remarque</w:t>
      </w:r>
      <w:r w:rsidR="00822FE1" w:rsidRPr="0054096E">
        <w:rPr>
          <w:rStyle w:val="EmphasisUseSparingly"/>
          <w:lang w:val="fr-CA"/>
        </w:rPr>
        <w:t xml:space="preserve"> 2</w:t>
      </w:r>
      <w:r w:rsidR="001C5600">
        <w:rPr>
          <w:rStyle w:val="EmphasisUseSparingly"/>
          <w:lang w:val="fr-CA"/>
        </w:rPr>
        <w:t> </w:t>
      </w:r>
      <w:r w:rsidR="00822FE1" w:rsidRPr="0054096E">
        <w:rPr>
          <w:rStyle w:val="EmphasisUseSparingly"/>
          <w:lang w:val="fr-CA"/>
        </w:rPr>
        <w:t>:</w:t>
      </w:r>
      <w:r w:rsidR="00822FE1" w:rsidRPr="0054096E">
        <w:rPr>
          <w:lang w:val="fr-CA"/>
        </w:rPr>
        <w:t xml:space="preserve"> Dans les environnements extérieurs, l</w:t>
      </w:r>
      <w:r w:rsidR="00561899">
        <w:rPr>
          <w:lang w:val="fr-CA"/>
        </w:rPr>
        <w:t>’</w:t>
      </w:r>
      <w:r w:rsidR="00822FE1" w:rsidRPr="0054096E">
        <w:rPr>
          <w:lang w:val="fr-CA"/>
        </w:rPr>
        <w:t>é</w:t>
      </w:r>
      <w:r w:rsidR="00743785">
        <w:rPr>
          <w:lang w:val="fr-CA"/>
        </w:rPr>
        <w:t>clairage naturel peut entra</w:t>
      </w:r>
      <w:r w:rsidR="00E22B9A">
        <w:rPr>
          <w:rFonts w:cs="Arial"/>
          <w:lang w:val="fr-CA"/>
        </w:rPr>
        <w:t>î</w:t>
      </w:r>
      <w:r w:rsidR="00743785">
        <w:rPr>
          <w:lang w:val="fr-CA"/>
        </w:rPr>
        <w:t xml:space="preserve">ner </w:t>
      </w:r>
      <w:r w:rsidR="00787F5A">
        <w:rPr>
          <w:lang w:val="fr-CA"/>
        </w:rPr>
        <w:t>des é</w:t>
      </w:r>
      <w:r w:rsidR="00787F5A" w:rsidRPr="0054096E">
        <w:rPr>
          <w:lang w:val="fr-CA"/>
        </w:rPr>
        <w:t>blouissements</w:t>
      </w:r>
      <w:r w:rsidR="00822FE1" w:rsidRPr="0054096E">
        <w:rPr>
          <w:lang w:val="fr-CA"/>
        </w:rPr>
        <w:t xml:space="preserve"> et l</w:t>
      </w:r>
      <w:r w:rsidR="00561899">
        <w:rPr>
          <w:lang w:val="fr-CA"/>
        </w:rPr>
        <w:t>’</w:t>
      </w:r>
      <w:r w:rsidR="00822FE1" w:rsidRPr="0054096E">
        <w:rPr>
          <w:lang w:val="fr-CA"/>
        </w:rPr>
        <w:t>ombre. Lorsq</w:t>
      </w:r>
      <w:r w:rsidR="0014550A">
        <w:rPr>
          <w:lang w:val="fr-CA"/>
        </w:rPr>
        <w:t xml:space="preserve">u’il n’est pas possible de maintenir un </w:t>
      </w:r>
      <w:r w:rsidR="00822FE1" w:rsidRPr="0054096E">
        <w:rPr>
          <w:lang w:val="fr-CA"/>
        </w:rPr>
        <w:t>éclairage constant</w:t>
      </w:r>
      <w:r w:rsidR="0014550A">
        <w:rPr>
          <w:lang w:val="fr-CA"/>
        </w:rPr>
        <w:t xml:space="preserve">, il est </w:t>
      </w:r>
      <w:r w:rsidR="00787F5A">
        <w:rPr>
          <w:lang w:val="fr-CA"/>
        </w:rPr>
        <w:t xml:space="preserve">recommandé d’utiliser des </w:t>
      </w:r>
      <w:r w:rsidR="00822FE1" w:rsidRPr="0054096E">
        <w:rPr>
          <w:lang w:val="fr-CA"/>
        </w:rPr>
        <w:t xml:space="preserve">matériaux à faible éblouissement, à contraste </w:t>
      </w:r>
      <w:r w:rsidR="00787F5A">
        <w:rPr>
          <w:lang w:val="fr-CA"/>
        </w:rPr>
        <w:t xml:space="preserve">élevé </w:t>
      </w:r>
      <w:r w:rsidR="00822FE1" w:rsidRPr="0054096E">
        <w:rPr>
          <w:lang w:val="fr-CA"/>
        </w:rPr>
        <w:t>et rétroréfléchissant.</w:t>
      </w:r>
    </w:p>
    <w:p w14:paraId="5ACE2ABA" w14:textId="1E680982" w:rsidR="008A0FAD" w:rsidRDefault="00745736" w:rsidP="00822FE1">
      <w:pPr>
        <w:rPr>
          <w:lang w:val="fr-CA"/>
        </w:rPr>
      </w:pPr>
      <w:r>
        <w:rPr>
          <w:rStyle w:val="EmphasisUseSparingly"/>
          <w:lang w:val="fr-CA"/>
        </w:rPr>
        <w:t>Remarque</w:t>
      </w:r>
      <w:r w:rsidR="00822FE1" w:rsidRPr="0054096E">
        <w:rPr>
          <w:rStyle w:val="EmphasisUseSparingly"/>
          <w:lang w:val="fr-CA"/>
        </w:rPr>
        <w:t xml:space="preserve"> 3</w:t>
      </w:r>
      <w:r w:rsidR="001C5600">
        <w:rPr>
          <w:rStyle w:val="EmphasisUseSparingly"/>
          <w:lang w:val="fr-CA"/>
        </w:rPr>
        <w:t> </w:t>
      </w:r>
      <w:r w:rsidR="00822FE1" w:rsidRPr="0054096E">
        <w:rPr>
          <w:rStyle w:val="EmphasisUseSparingly"/>
          <w:lang w:val="fr-CA"/>
        </w:rPr>
        <w:t>:</w:t>
      </w:r>
      <w:r w:rsidR="00822FE1" w:rsidRPr="0054096E">
        <w:rPr>
          <w:lang w:val="fr-CA"/>
        </w:rPr>
        <w:t xml:space="preserve"> Les hauteurs de caractères fournies dans </w:t>
      </w:r>
      <w:r>
        <w:rPr>
          <w:lang w:val="fr-CA"/>
        </w:rPr>
        <w:t>la présente</w:t>
      </w:r>
      <w:r w:rsidR="00822FE1" w:rsidRPr="0054096E">
        <w:rPr>
          <w:lang w:val="fr-CA"/>
        </w:rPr>
        <w:t xml:space="preserve"> norme sont basées sur les valeurs minimales de CSA/ASC B651:23. Les concepteurs devraient considérer si des caractères </w:t>
      </w:r>
      <w:r w:rsidR="005E02C5">
        <w:rPr>
          <w:lang w:val="fr-CA"/>
        </w:rPr>
        <w:t xml:space="preserve">de </w:t>
      </w:r>
      <w:r w:rsidR="00822FE1" w:rsidRPr="0054096E">
        <w:rPr>
          <w:lang w:val="fr-CA"/>
        </w:rPr>
        <w:t>plus grande</w:t>
      </w:r>
      <w:r w:rsidR="005E02C5">
        <w:rPr>
          <w:lang w:val="fr-CA"/>
        </w:rPr>
        <w:t xml:space="preserve"> taille</w:t>
      </w:r>
      <w:r w:rsidR="00822FE1" w:rsidRPr="0054096E">
        <w:rPr>
          <w:lang w:val="fr-CA"/>
        </w:rPr>
        <w:t xml:space="preserve"> sont appropriés dans leurs environnements extérieurs respectifs, </w:t>
      </w:r>
      <w:r w:rsidR="005E02C5">
        <w:rPr>
          <w:lang w:val="fr-CA"/>
        </w:rPr>
        <w:t>en particulier</w:t>
      </w:r>
      <w:r w:rsidR="005F4ACD">
        <w:rPr>
          <w:lang w:val="fr-CA"/>
        </w:rPr>
        <w:t xml:space="preserve"> </w:t>
      </w:r>
      <w:r w:rsidR="00822FE1" w:rsidRPr="0054096E">
        <w:rPr>
          <w:lang w:val="fr-CA"/>
        </w:rPr>
        <w:t xml:space="preserve">lorsque </w:t>
      </w:r>
      <w:r w:rsidR="005F4ACD">
        <w:rPr>
          <w:lang w:val="fr-CA"/>
        </w:rPr>
        <w:t>l</w:t>
      </w:r>
      <w:r w:rsidR="000A3ED7">
        <w:rPr>
          <w:lang w:val="fr-CA"/>
        </w:rPr>
        <w:t>’augmentation des</w:t>
      </w:r>
      <w:r w:rsidR="005F4ACD">
        <w:rPr>
          <w:lang w:val="fr-CA"/>
        </w:rPr>
        <w:t xml:space="preserve"> distance</w:t>
      </w:r>
      <w:r w:rsidR="000A3ED7">
        <w:rPr>
          <w:lang w:val="fr-CA"/>
        </w:rPr>
        <w:t>s</w:t>
      </w:r>
      <w:r w:rsidR="005F4ACD">
        <w:rPr>
          <w:lang w:val="fr-CA"/>
        </w:rPr>
        <w:t xml:space="preserve"> de </w:t>
      </w:r>
      <w:r w:rsidR="00084F5A">
        <w:rPr>
          <w:lang w:val="fr-CA"/>
        </w:rPr>
        <w:t>visibilité</w:t>
      </w:r>
      <w:r w:rsidR="00822FE1" w:rsidRPr="0054096E">
        <w:rPr>
          <w:lang w:val="fr-CA"/>
        </w:rPr>
        <w:t xml:space="preserve">, </w:t>
      </w:r>
      <w:r w:rsidR="00881F85">
        <w:rPr>
          <w:lang w:val="fr-CA"/>
        </w:rPr>
        <w:t xml:space="preserve">la </w:t>
      </w:r>
      <w:r w:rsidR="00822FE1" w:rsidRPr="0054096E">
        <w:rPr>
          <w:lang w:val="fr-CA"/>
        </w:rPr>
        <w:t>variabilité d</w:t>
      </w:r>
      <w:r w:rsidR="00561899">
        <w:rPr>
          <w:lang w:val="fr-CA"/>
        </w:rPr>
        <w:t>’</w:t>
      </w:r>
      <w:r w:rsidR="00822FE1" w:rsidRPr="0054096E">
        <w:rPr>
          <w:lang w:val="fr-CA"/>
        </w:rPr>
        <w:t xml:space="preserve">éclairage ou </w:t>
      </w:r>
      <w:r w:rsidR="00881F85">
        <w:rPr>
          <w:lang w:val="fr-CA"/>
        </w:rPr>
        <w:t xml:space="preserve">la complexité de </w:t>
      </w:r>
      <w:r w:rsidR="002E2864">
        <w:rPr>
          <w:lang w:val="fr-CA"/>
        </w:rPr>
        <w:t>l’</w:t>
      </w:r>
      <w:r w:rsidR="00881F85">
        <w:rPr>
          <w:lang w:val="fr-CA"/>
        </w:rPr>
        <w:t>e</w:t>
      </w:r>
      <w:r w:rsidR="00822FE1" w:rsidRPr="0054096E">
        <w:rPr>
          <w:lang w:val="fr-CA"/>
        </w:rPr>
        <w:t>nvironnement</w:t>
      </w:r>
      <w:r w:rsidR="002E2864">
        <w:rPr>
          <w:lang w:val="fr-CA"/>
        </w:rPr>
        <w:t xml:space="preserve"> </w:t>
      </w:r>
      <w:r w:rsidR="00822FE1" w:rsidRPr="0054096E">
        <w:rPr>
          <w:lang w:val="fr-CA"/>
        </w:rPr>
        <w:t xml:space="preserve">peuvent </w:t>
      </w:r>
      <w:r w:rsidR="002E2864">
        <w:rPr>
          <w:lang w:val="fr-CA"/>
        </w:rPr>
        <w:t xml:space="preserve">nuire </w:t>
      </w:r>
      <w:r w:rsidR="002E2864">
        <w:rPr>
          <w:rFonts w:cs="Arial"/>
          <w:lang w:val="fr-CA"/>
        </w:rPr>
        <w:t>à</w:t>
      </w:r>
      <w:r w:rsidR="00822FE1" w:rsidRPr="0054096E">
        <w:rPr>
          <w:lang w:val="fr-CA"/>
        </w:rPr>
        <w:t xml:space="preserve"> la lisibilité.</w:t>
      </w:r>
    </w:p>
    <w:p w14:paraId="39CFAC68" w14:textId="77777777" w:rsidR="008A0FAD" w:rsidRDefault="008A0FAD">
      <w:pPr>
        <w:keepLines w:val="0"/>
        <w:spacing w:before="0" w:beforeAutospacing="0" w:line="259" w:lineRule="auto"/>
        <w:rPr>
          <w:lang w:val="fr-CA"/>
        </w:rPr>
      </w:pPr>
      <w:r>
        <w:rPr>
          <w:lang w:val="fr-CA"/>
        </w:rPr>
        <w:br w:type="page"/>
      </w:r>
    </w:p>
    <w:p w14:paraId="500A2FF4" w14:textId="410B1963" w:rsidR="00822FE1" w:rsidRDefault="00452D8C" w:rsidP="00452D8C">
      <w:pPr>
        <w:pStyle w:val="Heading2"/>
      </w:pPr>
      <w:bookmarkStart w:id="629" w:name="_Colour_contrast"/>
      <w:bookmarkStart w:id="630" w:name="_Toc219706224"/>
      <w:bookmarkEnd w:id="629"/>
      <w:proofErr w:type="spellStart"/>
      <w:r>
        <w:lastRenderedPageBreak/>
        <w:t>Contraste</w:t>
      </w:r>
      <w:proofErr w:type="spellEnd"/>
      <w:r>
        <w:t xml:space="preserve"> de couleurs</w:t>
      </w:r>
      <w:bookmarkEnd w:id="630"/>
    </w:p>
    <w:p w14:paraId="120A2491" w14:textId="045552F3" w:rsidR="00067E85" w:rsidRPr="008A0FAD" w:rsidRDefault="00067E85" w:rsidP="00067E85">
      <w:pPr>
        <w:rPr>
          <w:lang w:val="fr-CA"/>
        </w:rPr>
      </w:pPr>
      <w:r w:rsidRPr="008A0FAD">
        <w:rPr>
          <w:lang w:val="fr-CA"/>
        </w:rPr>
        <w:t>Les informations suivantes complètent les exigences énoncées à l</w:t>
      </w:r>
      <w:r w:rsidR="00561899">
        <w:rPr>
          <w:lang w:val="fr-CA"/>
        </w:rPr>
        <w:t>’</w:t>
      </w:r>
      <w:r w:rsidRPr="008A0FAD">
        <w:rPr>
          <w:lang w:val="fr-CA"/>
        </w:rPr>
        <w:t xml:space="preserve">article </w:t>
      </w:r>
      <w:r w:rsidR="00D70155">
        <w:fldChar w:fldCharType="begin"/>
      </w:r>
      <w:r w:rsidR="00D70155" w:rsidRPr="007C0FBA">
        <w:rPr>
          <w:lang w:val="fr-CA"/>
        </w:rPr>
        <w:instrText>HYPERLINK \l "_General_requirements_for"</w:instrText>
      </w:r>
      <w:r w:rsidR="00D70155">
        <w:fldChar w:fldCharType="separate"/>
      </w:r>
      <w:r w:rsidR="00D70155" w:rsidRPr="008A0FAD">
        <w:rPr>
          <w:rStyle w:val="Hyperlink"/>
          <w:lang w:val="fr-CA"/>
        </w:rPr>
        <w:t>1</w:t>
      </w:r>
      <w:r w:rsidR="00F92801">
        <w:rPr>
          <w:rStyle w:val="Hyperlink"/>
          <w:lang w:val="fr-CA"/>
        </w:rPr>
        <w:t>0</w:t>
      </w:r>
      <w:r w:rsidR="00D70155">
        <w:fldChar w:fldCharType="end"/>
      </w:r>
      <w:r w:rsidRPr="008A0FAD">
        <w:rPr>
          <w:lang w:val="fr-CA"/>
        </w:rPr>
        <w:t>.</w:t>
      </w:r>
    </w:p>
    <w:p w14:paraId="2A299423" w14:textId="18417F3E" w:rsidR="00067E85" w:rsidRPr="00796630" w:rsidRDefault="00067E85" w:rsidP="00067E85">
      <w:r>
        <w:t xml:space="preserve">Les </w:t>
      </w:r>
      <w:proofErr w:type="spellStart"/>
      <w:r w:rsidR="00DD7810">
        <w:t>panneaux</w:t>
      </w:r>
      <w:proofErr w:type="spellEnd"/>
      <w:r w:rsidR="00DD7810">
        <w:t xml:space="preserve"> </w:t>
      </w:r>
      <w:proofErr w:type="spellStart"/>
      <w:proofErr w:type="gramStart"/>
      <w:r w:rsidR="00C80AB6">
        <w:t>doivent</w:t>
      </w:r>
      <w:proofErr w:type="spellEnd"/>
      <w:r w:rsidR="001C5600">
        <w:t> </w:t>
      </w:r>
      <w:r w:rsidR="00C80AB6">
        <w:t>:</w:t>
      </w:r>
      <w:proofErr w:type="gramEnd"/>
    </w:p>
    <w:p w14:paraId="1824C4CE" w14:textId="614BFC5D" w:rsidR="00067E85" w:rsidRPr="00877353" w:rsidRDefault="00067E85" w:rsidP="003F66F0">
      <w:pPr>
        <w:pStyle w:val="ListRef"/>
        <w:numPr>
          <w:ilvl w:val="0"/>
          <w:numId w:val="46"/>
        </w:numPr>
        <w:rPr>
          <w:lang w:val="fr-CA"/>
        </w:rPr>
      </w:pPr>
      <w:proofErr w:type="gramStart"/>
      <w:r w:rsidRPr="00877353">
        <w:rPr>
          <w:lang w:val="fr-CA"/>
        </w:rPr>
        <w:t>ne</w:t>
      </w:r>
      <w:proofErr w:type="gramEnd"/>
      <w:r w:rsidRPr="00877353">
        <w:rPr>
          <w:lang w:val="fr-CA"/>
        </w:rPr>
        <w:t xml:space="preserve"> pas incorporer les couleurs utilisées pour les panneaux réglementaires et d</w:t>
      </w:r>
      <w:r w:rsidR="00561899">
        <w:rPr>
          <w:lang w:val="fr-CA"/>
        </w:rPr>
        <w:t>’</w:t>
      </w:r>
      <w:r w:rsidRPr="00877353">
        <w:rPr>
          <w:lang w:val="fr-CA"/>
        </w:rPr>
        <w:t>urgence, sauf s</w:t>
      </w:r>
      <w:r w:rsidR="00561899">
        <w:rPr>
          <w:lang w:val="fr-CA"/>
        </w:rPr>
        <w:t>’</w:t>
      </w:r>
      <w:r w:rsidRPr="00877353">
        <w:rPr>
          <w:lang w:val="fr-CA"/>
        </w:rPr>
        <w:t>ils portent un message réglementaire ou d</w:t>
      </w:r>
      <w:r w:rsidR="00561899">
        <w:rPr>
          <w:lang w:val="fr-CA"/>
        </w:rPr>
        <w:t>’</w:t>
      </w:r>
      <w:r w:rsidRPr="00877353">
        <w:rPr>
          <w:lang w:val="fr-CA"/>
        </w:rPr>
        <w:t>urgence. Ces couleurs incluent, sans s</w:t>
      </w:r>
      <w:r w:rsidR="00561899">
        <w:rPr>
          <w:lang w:val="fr-CA"/>
        </w:rPr>
        <w:t>’</w:t>
      </w:r>
      <w:r w:rsidRPr="00877353">
        <w:rPr>
          <w:lang w:val="fr-CA"/>
        </w:rPr>
        <w:t>y limiter</w:t>
      </w:r>
      <w:r w:rsidR="001C5600">
        <w:rPr>
          <w:lang w:val="fr-CA"/>
        </w:rPr>
        <w:t> </w:t>
      </w:r>
      <w:r w:rsidRPr="00877353">
        <w:rPr>
          <w:lang w:val="fr-CA"/>
        </w:rPr>
        <w:t>: rouge, jaune, bleu et vert;</w:t>
      </w:r>
    </w:p>
    <w:p w14:paraId="559ECE41" w14:textId="29912BC4" w:rsidR="00067E85" w:rsidRPr="007C26BE" w:rsidRDefault="00E00513" w:rsidP="003F66F0">
      <w:pPr>
        <w:pStyle w:val="ListParagraph"/>
        <w:numPr>
          <w:ilvl w:val="0"/>
          <w:numId w:val="46"/>
        </w:numPr>
        <w:rPr>
          <w:lang w:val="fr-CA"/>
        </w:rPr>
      </w:pPr>
      <w:proofErr w:type="gramStart"/>
      <w:r>
        <w:rPr>
          <w:lang w:val="fr-CA"/>
        </w:rPr>
        <w:t>présenter</w:t>
      </w:r>
      <w:proofErr w:type="gramEnd"/>
      <w:r w:rsidR="00067E85" w:rsidRPr="007C26BE">
        <w:rPr>
          <w:lang w:val="fr-CA"/>
        </w:rPr>
        <w:t xml:space="preserve"> </w:t>
      </w:r>
      <w:r>
        <w:rPr>
          <w:lang w:val="fr-CA"/>
        </w:rPr>
        <w:t xml:space="preserve">un </w:t>
      </w:r>
      <w:r w:rsidR="00854539" w:rsidRPr="007C26BE">
        <w:rPr>
          <w:lang w:val="fr-CA"/>
        </w:rPr>
        <w:t>contraste</w:t>
      </w:r>
      <w:r>
        <w:rPr>
          <w:lang w:val="fr-CA"/>
        </w:rPr>
        <w:t xml:space="preserve"> </w:t>
      </w:r>
      <w:r w:rsidRPr="007C26BE">
        <w:rPr>
          <w:lang w:val="fr-CA"/>
        </w:rPr>
        <w:t>é</w:t>
      </w:r>
      <w:r>
        <w:rPr>
          <w:lang w:val="fr-CA"/>
        </w:rPr>
        <w:t>levé</w:t>
      </w:r>
      <w:r w:rsidR="00067E85" w:rsidRPr="007C26BE">
        <w:rPr>
          <w:lang w:val="fr-CA"/>
        </w:rPr>
        <w:t xml:space="preserve"> avec la surface et l</w:t>
      </w:r>
      <w:r w:rsidR="00561899">
        <w:rPr>
          <w:lang w:val="fr-CA"/>
        </w:rPr>
        <w:t>’</w:t>
      </w:r>
      <w:r w:rsidR="00067E85" w:rsidRPr="007C26BE">
        <w:rPr>
          <w:lang w:val="fr-CA"/>
        </w:rPr>
        <w:t>arrière-plan sur le</w:t>
      </w:r>
      <w:r>
        <w:rPr>
          <w:lang w:val="fr-CA"/>
        </w:rPr>
        <w:t>s</w:t>
      </w:r>
      <w:r w:rsidR="00067E85" w:rsidRPr="007C26BE">
        <w:rPr>
          <w:lang w:val="fr-CA"/>
        </w:rPr>
        <w:t>quel</w:t>
      </w:r>
      <w:r>
        <w:rPr>
          <w:lang w:val="fr-CA"/>
        </w:rPr>
        <w:t>s</w:t>
      </w:r>
      <w:r w:rsidR="00067E85" w:rsidRPr="007C26BE">
        <w:rPr>
          <w:lang w:val="fr-CA"/>
        </w:rPr>
        <w:t xml:space="preserve"> ils sont </w:t>
      </w:r>
      <w:r w:rsidR="00C80AB6">
        <w:rPr>
          <w:lang w:val="fr-CA"/>
        </w:rPr>
        <w:t>fix</w:t>
      </w:r>
      <w:r w:rsidR="00067E85" w:rsidRPr="007C26BE">
        <w:rPr>
          <w:lang w:val="fr-CA"/>
        </w:rPr>
        <w:t>és;</w:t>
      </w:r>
    </w:p>
    <w:p w14:paraId="485B6F07" w14:textId="2E0041B9" w:rsidR="00067E85" w:rsidRPr="007C26BE" w:rsidRDefault="00067E85" w:rsidP="003F66F0">
      <w:pPr>
        <w:pStyle w:val="ListRef"/>
        <w:numPr>
          <w:ilvl w:val="0"/>
          <w:numId w:val="46"/>
        </w:numPr>
        <w:rPr>
          <w:lang w:val="fr-CA"/>
        </w:rPr>
      </w:pPr>
      <w:proofErr w:type="gramStart"/>
      <w:r w:rsidRPr="007C26BE">
        <w:rPr>
          <w:lang w:val="fr-CA"/>
        </w:rPr>
        <w:t>incorporer</w:t>
      </w:r>
      <w:proofErr w:type="gramEnd"/>
      <w:r w:rsidRPr="007C26BE">
        <w:rPr>
          <w:lang w:val="fr-CA"/>
        </w:rPr>
        <w:t xml:space="preserve"> un contraste de couleur</w:t>
      </w:r>
      <w:r w:rsidR="007268E1">
        <w:rPr>
          <w:lang w:val="fr-CA"/>
        </w:rPr>
        <w:t>s</w:t>
      </w:r>
      <w:r w:rsidR="00B1425E">
        <w:rPr>
          <w:lang w:val="fr-CA"/>
        </w:rPr>
        <w:t xml:space="preserve"> prononc</w:t>
      </w:r>
      <w:r w:rsidRPr="007C26BE">
        <w:rPr>
          <w:lang w:val="fr-CA"/>
        </w:rPr>
        <w:t xml:space="preserve">é et </w:t>
      </w:r>
      <w:r w:rsidR="00B1425E">
        <w:rPr>
          <w:lang w:val="fr-CA"/>
        </w:rPr>
        <w:t>peu éblouissant afin</w:t>
      </w:r>
      <w:r w:rsidRPr="007C26BE">
        <w:rPr>
          <w:lang w:val="fr-CA"/>
        </w:rPr>
        <w:t xml:space="preserve"> </w:t>
      </w:r>
      <w:r w:rsidR="00B1425E">
        <w:rPr>
          <w:lang w:val="fr-CA"/>
        </w:rPr>
        <w:t>d’</w:t>
      </w:r>
      <w:r w:rsidRPr="007C26BE">
        <w:rPr>
          <w:lang w:val="fr-CA"/>
        </w:rPr>
        <w:t>assurer l</w:t>
      </w:r>
      <w:r w:rsidR="00B1425E">
        <w:rPr>
          <w:lang w:val="fr-CA"/>
        </w:rPr>
        <w:t>eur</w:t>
      </w:r>
      <w:r w:rsidRPr="007C26BE">
        <w:rPr>
          <w:lang w:val="fr-CA"/>
        </w:rPr>
        <w:t xml:space="preserve"> lisibilité dans des conditions d</w:t>
      </w:r>
      <w:r w:rsidR="00561899">
        <w:rPr>
          <w:lang w:val="fr-CA"/>
        </w:rPr>
        <w:t>’</w:t>
      </w:r>
      <w:r w:rsidRPr="007C26BE">
        <w:rPr>
          <w:lang w:val="fr-CA"/>
        </w:rPr>
        <w:t>éclairage intérieur et extérieur</w:t>
      </w:r>
      <w:r w:rsidR="00F67110">
        <w:rPr>
          <w:lang w:val="fr-CA"/>
        </w:rPr>
        <w:t xml:space="preserve"> </w:t>
      </w:r>
      <w:r w:rsidR="00C11307">
        <w:rPr>
          <w:lang w:val="fr-CA"/>
        </w:rPr>
        <w:t>typiques</w:t>
      </w:r>
      <w:r w:rsidRPr="007C26BE">
        <w:rPr>
          <w:lang w:val="fr-CA"/>
        </w:rPr>
        <w:t>;</w:t>
      </w:r>
    </w:p>
    <w:p w14:paraId="76BF2A18" w14:textId="1A059AE1" w:rsidR="00067E85" w:rsidRPr="007C26BE" w:rsidRDefault="00067E85" w:rsidP="003F66F0">
      <w:pPr>
        <w:pStyle w:val="ListRef"/>
        <w:numPr>
          <w:ilvl w:val="0"/>
          <w:numId w:val="46"/>
        </w:numPr>
        <w:rPr>
          <w:lang w:val="fr-CA"/>
        </w:rPr>
      </w:pPr>
      <w:proofErr w:type="gramStart"/>
      <w:r w:rsidRPr="007C26BE">
        <w:rPr>
          <w:lang w:val="fr-CA"/>
        </w:rPr>
        <w:t>lorsque</w:t>
      </w:r>
      <w:proofErr w:type="gramEnd"/>
      <w:r w:rsidRPr="007C26BE">
        <w:rPr>
          <w:lang w:val="fr-CA"/>
        </w:rPr>
        <w:t xml:space="preserve"> des matériaux rétroréfléchissants sont utilisés pour la signalisation extérieure, </w:t>
      </w:r>
      <w:r w:rsidR="00C30FB0">
        <w:rPr>
          <w:lang w:val="fr-CA"/>
        </w:rPr>
        <w:t xml:space="preserve">conserver </w:t>
      </w:r>
      <w:r w:rsidRPr="007C26BE">
        <w:rPr>
          <w:lang w:val="fr-CA"/>
        </w:rPr>
        <w:t xml:space="preserve">un contraste efficace </w:t>
      </w:r>
      <w:r w:rsidR="00B36CF1">
        <w:rPr>
          <w:lang w:val="fr-CA"/>
        </w:rPr>
        <w:t>dans des</w:t>
      </w:r>
      <w:r w:rsidRPr="007C26BE">
        <w:rPr>
          <w:lang w:val="fr-CA"/>
        </w:rPr>
        <w:t xml:space="preserve"> conditions </w:t>
      </w:r>
      <w:r w:rsidR="00B36CF1">
        <w:rPr>
          <w:lang w:val="fr-CA"/>
        </w:rPr>
        <w:t xml:space="preserve">de lumière </w:t>
      </w:r>
      <w:r w:rsidRPr="007C26BE">
        <w:rPr>
          <w:lang w:val="fr-CA"/>
        </w:rPr>
        <w:t xml:space="preserve">naturelle et </w:t>
      </w:r>
      <w:r w:rsidR="00B36CF1">
        <w:rPr>
          <w:lang w:val="fr-CA"/>
        </w:rPr>
        <w:t>de</w:t>
      </w:r>
      <w:r w:rsidRPr="007C26BE">
        <w:rPr>
          <w:lang w:val="fr-CA"/>
        </w:rPr>
        <w:t xml:space="preserve"> faible luminosité sans causer </w:t>
      </w:r>
      <w:r w:rsidR="00B36CF1">
        <w:rPr>
          <w:lang w:val="fr-CA"/>
        </w:rPr>
        <w:t>d’</w:t>
      </w:r>
      <w:r w:rsidRPr="007C26BE">
        <w:rPr>
          <w:lang w:val="fr-CA"/>
        </w:rPr>
        <w:t>éblouissement excessif qui nui</w:t>
      </w:r>
      <w:r w:rsidR="00BC7746">
        <w:rPr>
          <w:lang w:val="fr-CA"/>
        </w:rPr>
        <w:t xml:space="preserve">rait </w:t>
      </w:r>
      <w:r w:rsidRPr="007C26BE">
        <w:rPr>
          <w:lang w:val="fr-CA"/>
        </w:rPr>
        <w:t>à la lisibilité; et</w:t>
      </w:r>
    </w:p>
    <w:p w14:paraId="1EBED0A9" w14:textId="0DEDD718" w:rsidR="00067E85" w:rsidRPr="007C26BE" w:rsidRDefault="00067E85" w:rsidP="003F66F0">
      <w:pPr>
        <w:pStyle w:val="ListRef"/>
        <w:numPr>
          <w:ilvl w:val="0"/>
          <w:numId w:val="46"/>
        </w:numPr>
        <w:rPr>
          <w:lang w:val="fr-CA"/>
        </w:rPr>
      </w:pPr>
      <w:proofErr w:type="gramStart"/>
      <w:r w:rsidRPr="007C26BE">
        <w:rPr>
          <w:lang w:val="fr-CA"/>
        </w:rPr>
        <w:t>être</w:t>
      </w:r>
      <w:proofErr w:type="gramEnd"/>
      <w:r w:rsidRPr="007C26BE">
        <w:rPr>
          <w:lang w:val="fr-CA"/>
        </w:rPr>
        <w:t xml:space="preserve"> </w:t>
      </w:r>
      <w:r w:rsidR="003962FE">
        <w:rPr>
          <w:lang w:val="fr-CA"/>
        </w:rPr>
        <w:t>contrast</w:t>
      </w:r>
      <w:r w:rsidR="003962FE">
        <w:rPr>
          <w:rFonts w:cs="Arial"/>
          <w:lang w:val="fr-CA"/>
        </w:rPr>
        <w:t>é</w:t>
      </w:r>
      <w:r w:rsidR="003962FE">
        <w:rPr>
          <w:lang w:val="fr-CA"/>
        </w:rPr>
        <w:t xml:space="preserve">s en termes de </w:t>
      </w:r>
      <w:r w:rsidRPr="007C26BE">
        <w:rPr>
          <w:lang w:val="fr-CA"/>
        </w:rPr>
        <w:t>luminance (couleur) d</w:t>
      </w:r>
      <w:r w:rsidR="00561899">
        <w:rPr>
          <w:lang w:val="fr-CA"/>
        </w:rPr>
        <w:t>’</w:t>
      </w:r>
      <w:r w:rsidRPr="007C26BE">
        <w:rPr>
          <w:lang w:val="fr-CA"/>
        </w:rPr>
        <w:t>au moins 70</w:t>
      </w:r>
      <w:r w:rsidR="00C869CA">
        <w:rPr>
          <w:lang w:val="fr-CA"/>
        </w:rPr>
        <w:t> </w:t>
      </w:r>
      <w:r w:rsidRPr="007C26BE">
        <w:rPr>
          <w:lang w:val="fr-CA"/>
        </w:rPr>
        <w:t xml:space="preserve">% </w:t>
      </w:r>
      <w:r w:rsidR="00111378">
        <w:rPr>
          <w:lang w:val="fr-CA"/>
        </w:rPr>
        <w:t>par rapport à leur</w:t>
      </w:r>
      <w:r w:rsidRPr="007C26BE">
        <w:rPr>
          <w:lang w:val="fr-CA"/>
        </w:rPr>
        <w:t xml:space="preserve"> </w:t>
      </w:r>
      <w:r w:rsidR="003962FE">
        <w:rPr>
          <w:lang w:val="fr-CA"/>
        </w:rPr>
        <w:t>arrière-plan</w:t>
      </w:r>
      <w:r w:rsidRPr="007C26BE">
        <w:rPr>
          <w:lang w:val="fr-CA"/>
        </w:rPr>
        <w:t>.</w:t>
      </w:r>
    </w:p>
    <w:p w14:paraId="19579347" w14:textId="492A1B81" w:rsidR="00067E85" w:rsidRPr="007C26BE" w:rsidRDefault="00111378" w:rsidP="00067E85">
      <w:pPr>
        <w:rPr>
          <w:lang w:val="fr-CA"/>
        </w:rPr>
      </w:pPr>
      <w:r>
        <w:rPr>
          <w:rStyle w:val="EmphasisUseSparingly"/>
          <w:lang w:val="fr-CA"/>
        </w:rPr>
        <w:t>Remarque</w:t>
      </w:r>
      <w:r w:rsidR="00067E85" w:rsidRPr="007C26BE">
        <w:rPr>
          <w:rStyle w:val="EmphasisUseSparingly"/>
          <w:lang w:val="fr-CA"/>
        </w:rPr>
        <w:t xml:space="preserve"> 1</w:t>
      </w:r>
      <w:r w:rsidR="001C5600">
        <w:rPr>
          <w:rStyle w:val="EmphasisUseSparingly"/>
          <w:lang w:val="fr-CA"/>
        </w:rPr>
        <w:t> </w:t>
      </w:r>
      <w:r w:rsidR="00067E85" w:rsidRPr="007C26BE">
        <w:rPr>
          <w:lang w:val="fr-CA"/>
        </w:rPr>
        <w:t xml:space="preserve">: Pour les panneaux, les couleurs les plus visibles sont le blanc ou le jaune sur un </w:t>
      </w:r>
      <w:r w:rsidR="00851E83">
        <w:rPr>
          <w:lang w:val="fr-CA"/>
        </w:rPr>
        <w:t>arrière-plan</w:t>
      </w:r>
      <w:r w:rsidR="00067E85" w:rsidRPr="007C26BE">
        <w:rPr>
          <w:lang w:val="fr-CA"/>
        </w:rPr>
        <w:t xml:space="preserve"> noir, fusain ou autre </w:t>
      </w:r>
      <w:r w:rsidR="00851E83">
        <w:rPr>
          <w:lang w:val="fr-CA"/>
        </w:rPr>
        <w:t xml:space="preserve">arrière-plan </w:t>
      </w:r>
      <w:r w:rsidR="00067E85" w:rsidRPr="007C26BE">
        <w:rPr>
          <w:lang w:val="fr-CA"/>
        </w:rPr>
        <w:t>foncé, comme le brun, le bleu foncé, le vert foncé ou le violet.</w:t>
      </w:r>
    </w:p>
    <w:p w14:paraId="4FB9C0E4" w14:textId="4F392C9C" w:rsidR="00067E85" w:rsidRPr="006F4ED1" w:rsidRDefault="00414D6E" w:rsidP="00067E85">
      <w:pPr>
        <w:rPr>
          <w:lang w:val="fr-CA"/>
        </w:rPr>
      </w:pPr>
      <w:r>
        <w:rPr>
          <w:rStyle w:val="EmphasisUseSparingly"/>
          <w:lang w:val="fr-CA"/>
        </w:rPr>
        <w:t>Remarque</w:t>
      </w:r>
      <w:r w:rsidR="00067E85" w:rsidRPr="007C26BE">
        <w:rPr>
          <w:rStyle w:val="EmphasisUseSparingly"/>
          <w:lang w:val="fr-CA"/>
        </w:rPr>
        <w:t xml:space="preserve"> 2</w:t>
      </w:r>
      <w:r w:rsidR="001C5600">
        <w:rPr>
          <w:rStyle w:val="EmphasisUseSparingly"/>
          <w:lang w:val="fr-CA"/>
        </w:rPr>
        <w:t> </w:t>
      </w:r>
      <w:r w:rsidR="00067E85" w:rsidRPr="007C26BE">
        <w:rPr>
          <w:lang w:val="fr-CA"/>
        </w:rPr>
        <w:t xml:space="preserve">: Les lettres noires sur </w:t>
      </w:r>
      <w:r>
        <w:rPr>
          <w:lang w:val="fr-CA"/>
        </w:rPr>
        <w:t>un arrière-plan</w:t>
      </w:r>
      <w:r w:rsidR="00067E85" w:rsidRPr="007C26BE">
        <w:rPr>
          <w:lang w:val="fr-CA"/>
        </w:rPr>
        <w:t xml:space="preserve"> blanc sont également acceptables, bien qu</w:t>
      </w:r>
      <w:r w:rsidR="00707499">
        <w:rPr>
          <w:lang w:val="fr-CA"/>
        </w:rPr>
        <w:t>’elles soient moins</w:t>
      </w:r>
      <w:r w:rsidR="00067E85" w:rsidRPr="007C26BE">
        <w:rPr>
          <w:lang w:val="fr-CA"/>
        </w:rPr>
        <w:t xml:space="preserve"> lisibles que l</w:t>
      </w:r>
      <w:r w:rsidR="00707499">
        <w:rPr>
          <w:lang w:val="fr-CA"/>
        </w:rPr>
        <w:t>’inverse</w:t>
      </w:r>
      <w:r w:rsidR="00764775">
        <w:rPr>
          <w:lang w:val="fr-CA"/>
        </w:rPr>
        <w:t>. V</w:t>
      </w:r>
      <w:r w:rsidR="00067E85" w:rsidRPr="007C26BE">
        <w:rPr>
          <w:lang w:val="fr-CA"/>
        </w:rPr>
        <w:t>oir l</w:t>
      </w:r>
      <w:r w:rsidR="00707499">
        <w:rPr>
          <w:lang w:val="fr-CA"/>
        </w:rPr>
        <w:t>’article</w:t>
      </w:r>
      <w:r w:rsidR="00067E85" w:rsidRPr="007C26BE">
        <w:rPr>
          <w:lang w:val="fr-CA"/>
        </w:rPr>
        <w:t xml:space="preserve"> </w:t>
      </w:r>
      <w:r w:rsidR="00155DC2">
        <w:fldChar w:fldCharType="begin"/>
      </w:r>
      <w:r w:rsidR="00155DC2" w:rsidRPr="007C0FBA">
        <w:rPr>
          <w:lang w:val="fr-CA"/>
        </w:rPr>
        <w:instrText>HYPERLINK \l "_Luminance_contrast"</w:instrText>
      </w:r>
      <w:r w:rsidR="00155DC2">
        <w:fldChar w:fldCharType="separate"/>
      </w:r>
      <w:r w:rsidR="00155DC2" w:rsidRPr="006F4ED1">
        <w:rPr>
          <w:rStyle w:val="Hyperlink"/>
          <w:lang w:val="fr-CA"/>
        </w:rPr>
        <w:t>1</w:t>
      </w:r>
      <w:r w:rsidR="005570A6">
        <w:rPr>
          <w:rStyle w:val="Hyperlink"/>
          <w:lang w:val="fr-CA"/>
        </w:rPr>
        <w:t>0</w:t>
      </w:r>
      <w:r w:rsidR="00155DC2" w:rsidRPr="006F4ED1">
        <w:rPr>
          <w:rStyle w:val="Hyperlink"/>
          <w:lang w:val="fr-CA"/>
        </w:rPr>
        <w:t>.2</w:t>
      </w:r>
      <w:r w:rsidR="00155DC2">
        <w:fldChar w:fldCharType="end"/>
      </w:r>
      <w:r w:rsidR="00067E85" w:rsidRPr="006F4ED1">
        <w:rPr>
          <w:lang w:val="fr-CA"/>
        </w:rPr>
        <w:t xml:space="preserve"> pour des informations supplémentaires sur le contraste des couleurs</w:t>
      </w:r>
      <w:r w:rsidR="00764775">
        <w:rPr>
          <w:lang w:val="fr-CA"/>
        </w:rPr>
        <w:t>.</w:t>
      </w:r>
    </w:p>
    <w:p w14:paraId="7C6B0CF8" w14:textId="307618C7" w:rsidR="00452D8C" w:rsidRDefault="00372A3A" w:rsidP="00372A3A">
      <w:pPr>
        <w:pStyle w:val="Heading2"/>
      </w:pPr>
      <w:bookmarkStart w:id="631" w:name="_Toc219706225"/>
      <w:r>
        <w:lastRenderedPageBreak/>
        <w:t>Installation</w:t>
      </w:r>
      <w:bookmarkEnd w:id="631"/>
    </w:p>
    <w:p w14:paraId="1138FB2F" w14:textId="37D32D2C" w:rsidR="00372A3A" w:rsidRPr="00852A93" w:rsidRDefault="00372A3A" w:rsidP="00372A3A">
      <w:pPr>
        <w:rPr>
          <w:lang w:val="fr-CA"/>
        </w:rPr>
      </w:pPr>
      <w:r w:rsidRPr="00852A93">
        <w:rPr>
          <w:lang w:val="fr-CA"/>
        </w:rPr>
        <w:t>L</w:t>
      </w:r>
      <w:r w:rsidR="00561899">
        <w:rPr>
          <w:lang w:val="fr-CA"/>
        </w:rPr>
        <w:t>’</w:t>
      </w:r>
      <w:r w:rsidRPr="00852A93">
        <w:rPr>
          <w:lang w:val="fr-CA"/>
        </w:rPr>
        <w:t>installation est un aspect important pour s</w:t>
      </w:r>
      <w:r w:rsidR="00561899">
        <w:rPr>
          <w:lang w:val="fr-CA"/>
        </w:rPr>
        <w:t>’</w:t>
      </w:r>
      <w:r w:rsidRPr="00852A93">
        <w:rPr>
          <w:lang w:val="fr-CA"/>
        </w:rPr>
        <w:t>assurer qu</w:t>
      </w:r>
      <w:r w:rsidR="00561899">
        <w:rPr>
          <w:lang w:val="fr-CA"/>
        </w:rPr>
        <w:t>’</w:t>
      </w:r>
      <w:r w:rsidRPr="00852A93">
        <w:rPr>
          <w:lang w:val="fr-CA"/>
        </w:rPr>
        <w:t>un</w:t>
      </w:r>
      <w:r w:rsidR="00852A93">
        <w:rPr>
          <w:lang w:val="fr-CA"/>
        </w:rPr>
        <w:t xml:space="preserve"> panneau</w:t>
      </w:r>
      <w:r w:rsidRPr="00852A93">
        <w:rPr>
          <w:lang w:val="fr-CA"/>
        </w:rPr>
        <w:t xml:space="preserve"> </w:t>
      </w:r>
      <w:r w:rsidR="00355878">
        <w:rPr>
          <w:lang w:val="fr-CA"/>
        </w:rPr>
        <w:t xml:space="preserve">est </w:t>
      </w:r>
      <w:r w:rsidR="00E60E75">
        <w:rPr>
          <w:lang w:val="fr-CA"/>
        </w:rPr>
        <w:t>plac</w:t>
      </w:r>
      <w:r w:rsidR="00D56430">
        <w:rPr>
          <w:rFonts w:cs="Arial"/>
          <w:lang w:val="fr-CA"/>
        </w:rPr>
        <w:t>é</w:t>
      </w:r>
      <w:r w:rsidRPr="00852A93">
        <w:rPr>
          <w:lang w:val="fr-CA"/>
        </w:rPr>
        <w:t xml:space="preserve"> à un endroit approprié pour les utilisateurs.</w:t>
      </w:r>
    </w:p>
    <w:p w14:paraId="5208FA96" w14:textId="164AA57F" w:rsidR="00372A3A" w:rsidRPr="00852A93" w:rsidRDefault="00372A3A" w:rsidP="00372A3A">
      <w:pPr>
        <w:rPr>
          <w:lang w:val="fr-CA"/>
        </w:rPr>
      </w:pPr>
      <w:r w:rsidRPr="00852A93">
        <w:rPr>
          <w:lang w:val="fr-CA"/>
        </w:rPr>
        <w:t>L</w:t>
      </w:r>
      <w:r w:rsidR="00561899">
        <w:rPr>
          <w:lang w:val="fr-CA"/>
        </w:rPr>
        <w:t>’</w:t>
      </w:r>
      <w:r w:rsidRPr="00852A93">
        <w:rPr>
          <w:lang w:val="fr-CA"/>
        </w:rPr>
        <w:t>installation permanente et temporaire des panneaux doit</w:t>
      </w:r>
      <w:r w:rsidR="001C5600">
        <w:rPr>
          <w:lang w:val="fr-CA"/>
        </w:rPr>
        <w:t> </w:t>
      </w:r>
      <w:r w:rsidRPr="00852A93">
        <w:rPr>
          <w:lang w:val="fr-CA"/>
        </w:rPr>
        <w:t>:</w:t>
      </w:r>
    </w:p>
    <w:p w14:paraId="3D823564" w14:textId="2582D027" w:rsidR="00372A3A" w:rsidRPr="00852A93" w:rsidRDefault="002C74FE" w:rsidP="003F66F0">
      <w:pPr>
        <w:pStyle w:val="ListRef"/>
        <w:numPr>
          <w:ilvl w:val="0"/>
          <w:numId w:val="47"/>
        </w:numPr>
        <w:rPr>
          <w:lang w:val="fr-CA"/>
        </w:rPr>
      </w:pPr>
      <w:proofErr w:type="gramStart"/>
      <w:r w:rsidRPr="00852A93">
        <w:rPr>
          <w:lang w:val="fr-CA"/>
        </w:rPr>
        <w:t>se</w:t>
      </w:r>
      <w:proofErr w:type="gramEnd"/>
      <w:r w:rsidRPr="00852A93">
        <w:rPr>
          <w:lang w:val="fr-CA"/>
        </w:rPr>
        <w:t xml:space="preserve"> conformer à l</w:t>
      </w:r>
      <w:r w:rsidR="00627D5D">
        <w:rPr>
          <w:lang w:val="fr-CA"/>
        </w:rPr>
        <w:t>’article</w:t>
      </w:r>
      <w:r w:rsidRPr="00852A93">
        <w:rPr>
          <w:lang w:val="fr-CA"/>
        </w:rPr>
        <w:t xml:space="preserve"> </w:t>
      </w:r>
      <w:hyperlink w:anchor="_Obstacles" w:history="1">
        <w:r w:rsidRPr="00852A93">
          <w:rPr>
            <w:rStyle w:val="Hyperlink"/>
            <w:lang w:val="fr-CA"/>
          </w:rPr>
          <w:t>1</w:t>
        </w:r>
        <w:r w:rsidR="002473E0">
          <w:rPr>
            <w:rStyle w:val="Hyperlink"/>
            <w:lang w:val="fr-CA"/>
          </w:rPr>
          <w:t>1</w:t>
        </w:r>
        <w:r w:rsidRPr="00852A93">
          <w:rPr>
            <w:rStyle w:val="Hyperlink"/>
            <w:lang w:val="fr-CA"/>
          </w:rPr>
          <w:t>.2</w:t>
        </w:r>
      </w:hyperlink>
      <w:r w:rsidR="00372A3A" w:rsidRPr="00852A93">
        <w:rPr>
          <w:lang w:val="fr-CA"/>
        </w:rPr>
        <w:t>; et</w:t>
      </w:r>
    </w:p>
    <w:p w14:paraId="4747228E" w14:textId="5D6063F8" w:rsidR="00372A3A" w:rsidRPr="00852A93" w:rsidRDefault="00372A3A" w:rsidP="003F66F0">
      <w:pPr>
        <w:pStyle w:val="ListRef"/>
        <w:numPr>
          <w:ilvl w:val="0"/>
          <w:numId w:val="47"/>
        </w:numPr>
        <w:rPr>
          <w:lang w:val="fr-CA"/>
        </w:rPr>
      </w:pPr>
      <w:proofErr w:type="gramStart"/>
      <w:r w:rsidRPr="00852A93">
        <w:rPr>
          <w:lang w:val="fr-CA"/>
        </w:rPr>
        <w:t>être</w:t>
      </w:r>
      <w:proofErr w:type="gramEnd"/>
      <w:r w:rsidRPr="00852A93">
        <w:rPr>
          <w:lang w:val="fr-CA"/>
        </w:rPr>
        <w:t xml:space="preserve"> détectables par la canne s</w:t>
      </w:r>
      <w:r w:rsidR="00561899">
        <w:rPr>
          <w:lang w:val="fr-CA"/>
        </w:rPr>
        <w:t>’</w:t>
      </w:r>
      <w:r w:rsidRPr="00852A93">
        <w:rPr>
          <w:lang w:val="fr-CA"/>
        </w:rPr>
        <w:t>ils sont autoportants.</w:t>
      </w:r>
    </w:p>
    <w:p w14:paraId="6FAE6A82" w14:textId="4D2FDC83" w:rsidR="00372A3A" w:rsidRDefault="005E669B" w:rsidP="005E669B">
      <w:pPr>
        <w:pStyle w:val="Heading3"/>
      </w:pPr>
      <w:bookmarkStart w:id="632" w:name="_Location_of_signs"/>
      <w:bookmarkStart w:id="633" w:name="_Emplacement_des_panneaux"/>
      <w:bookmarkStart w:id="634" w:name="_Toc219706226"/>
      <w:bookmarkEnd w:id="632"/>
      <w:bookmarkEnd w:id="633"/>
      <w:r>
        <w:t xml:space="preserve">Emplacement des </w:t>
      </w:r>
      <w:proofErr w:type="spellStart"/>
      <w:r>
        <w:t>panneaux</w:t>
      </w:r>
      <w:bookmarkEnd w:id="634"/>
      <w:proofErr w:type="spellEnd"/>
    </w:p>
    <w:p w14:paraId="2120CB83" w14:textId="48BBB4C8" w:rsidR="00712AAD" w:rsidRPr="00E95887" w:rsidRDefault="00712AAD" w:rsidP="00712AAD">
      <w:bookmarkStart w:id="635" w:name="_Hlk178332072"/>
      <w:r>
        <w:t xml:space="preserve">Les </w:t>
      </w:r>
      <w:proofErr w:type="spellStart"/>
      <w:r w:rsidR="00601C07">
        <w:t>panneaux</w:t>
      </w:r>
      <w:proofErr w:type="spellEnd"/>
      <w:r>
        <w:t xml:space="preserve"> </w:t>
      </w:r>
      <w:proofErr w:type="spellStart"/>
      <w:proofErr w:type="gramStart"/>
      <w:r>
        <w:t>doivent</w:t>
      </w:r>
      <w:proofErr w:type="spellEnd"/>
      <w:r w:rsidR="001C5600">
        <w:t> </w:t>
      </w:r>
      <w:r>
        <w:t>:</w:t>
      </w:r>
      <w:proofErr w:type="gramEnd"/>
    </w:p>
    <w:p w14:paraId="022C1EEF" w14:textId="13F4CF3E" w:rsidR="00712AAD" w:rsidRPr="00601C07" w:rsidRDefault="00712AAD" w:rsidP="003F66F0">
      <w:pPr>
        <w:pStyle w:val="ListRef"/>
        <w:numPr>
          <w:ilvl w:val="0"/>
          <w:numId w:val="48"/>
        </w:numPr>
        <w:rPr>
          <w:lang w:val="fr-CA"/>
        </w:rPr>
      </w:pPr>
      <w:bookmarkStart w:id="636" w:name="_Hlk178332448"/>
      <w:proofErr w:type="gramStart"/>
      <w:r w:rsidRPr="00601C07">
        <w:rPr>
          <w:lang w:val="fr-CA"/>
        </w:rPr>
        <w:t>pour</w:t>
      </w:r>
      <w:proofErr w:type="gramEnd"/>
      <w:r w:rsidRPr="00601C07">
        <w:rPr>
          <w:lang w:val="fr-CA"/>
        </w:rPr>
        <w:t xml:space="preserve"> les panneaux destinés à être lus en regardant vers le bas (c</w:t>
      </w:r>
      <w:r w:rsidR="00070DCB">
        <w:rPr>
          <w:lang w:val="fr-CA"/>
        </w:rPr>
        <w:t>.</w:t>
      </w:r>
      <w:r w:rsidRPr="00601C07">
        <w:rPr>
          <w:lang w:val="fr-CA"/>
        </w:rPr>
        <w:t>-à-</w:t>
      </w:r>
      <w:r w:rsidR="0080776A">
        <w:rPr>
          <w:lang w:val="fr-CA"/>
        </w:rPr>
        <w:t>d.</w:t>
      </w:r>
      <w:r w:rsidRPr="00601C07">
        <w:rPr>
          <w:lang w:val="fr-CA"/>
        </w:rPr>
        <w:t xml:space="preserve"> montés sur un poteau autonome parallèle ou incliné par rapport au sol), être placés entre 730</w:t>
      </w:r>
      <w:r w:rsidR="003B2C52">
        <w:rPr>
          <w:lang w:val="fr-CA"/>
        </w:rPr>
        <w:t> </w:t>
      </w:r>
      <w:r w:rsidRPr="00601C07">
        <w:rPr>
          <w:lang w:val="fr-CA"/>
        </w:rPr>
        <w:t>mm et 860</w:t>
      </w:r>
      <w:r w:rsidR="003B2C52">
        <w:rPr>
          <w:lang w:val="fr-CA"/>
        </w:rPr>
        <w:t> </w:t>
      </w:r>
      <w:r w:rsidRPr="00601C07">
        <w:rPr>
          <w:lang w:val="fr-CA"/>
        </w:rPr>
        <w:t>mm au-dessus du sol afin de permettre la v</w:t>
      </w:r>
      <w:r w:rsidR="00381039">
        <w:rPr>
          <w:lang w:val="fr-CA"/>
        </w:rPr>
        <w:t>isualisation à partir d’une</w:t>
      </w:r>
      <w:r w:rsidRPr="00601C07">
        <w:rPr>
          <w:lang w:val="fr-CA"/>
        </w:rPr>
        <w:t xml:space="preserve"> position assise;</w:t>
      </w:r>
    </w:p>
    <w:p w14:paraId="704668B7" w14:textId="26995581" w:rsidR="00712AAD" w:rsidRPr="00601C07" w:rsidRDefault="00712AAD" w:rsidP="003F66F0">
      <w:pPr>
        <w:pStyle w:val="ListRef"/>
        <w:numPr>
          <w:ilvl w:val="0"/>
          <w:numId w:val="48"/>
        </w:numPr>
        <w:rPr>
          <w:lang w:val="fr-CA"/>
        </w:rPr>
      </w:pPr>
      <w:proofErr w:type="gramStart"/>
      <w:r w:rsidRPr="00601C07">
        <w:rPr>
          <w:lang w:val="fr-CA"/>
        </w:rPr>
        <w:t>pour</w:t>
      </w:r>
      <w:proofErr w:type="gramEnd"/>
      <w:r w:rsidRPr="00601C07">
        <w:rPr>
          <w:lang w:val="fr-CA"/>
        </w:rPr>
        <w:t xml:space="preserve"> les installations sanitaires extérieures (p</w:t>
      </w:r>
      <w:r w:rsidR="002F657D">
        <w:rPr>
          <w:lang w:val="fr-CA"/>
        </w:rPr>
        <w:t>.</w:t>
      </w:r>
      <w:r w:rsidR="006A7DB9">
        <w:rPr>
          <w:lang w:val="fr-CA"/>
        </w:rPr>
        <w:t xml:space="preserve"> </w:t>
      </w:r>
      <w:r w:rsidR="002F657D">
        <w:rPr>
          <w:lang w:val="fr-CA"/>
        </w:rPr>
        <w:t xml:space="preserve">ex., les </w:t>
      </w:r>
      <w:r w:rsidRPr="00601C07">
        <w:rPr>
          <w:lang w:val="fr-CA"/>
        </w:rPr>
        <w:t>toilettes portatives, toilettes extérieures)</w:t>
      </w:r>
      <w:r w:rsidR="00681249">
        <w:rPr>
          <w:lang w:val="fr-CA"/>
        </w:rPr>
        <w:t> :</w:t>
      </w:r>
    </w:p>
    <w:p w14:paraId="6E7BE028" w14:textId="408F691E" w:rsidR="00712AAD" w:rsidRPr="00601C07" w:rsidRDefault="00712AAD" w:rsidP="003F66F0">
      <w:pPr>
        <w:pStyle w:val="ListRef"/>
        <w:numPr>
          <w:ilvl w:val="1"/>
          <w:numId w:val="48"/>
        </w:numPr>
        <w:rPr>
          <w:lang w:val="fr-CA"/>
        </w:rPr>
      </w:pPr>
      <w:proofErr w:type="gramStart"/>
      <w:r w:rsidRPr="00601C07">
        <w:rPr>
          <w:lang w:val="fr-CA"/>
        </w:rPr>
        <w:t>être</w:t>
      </w:r>
      <w:proofErr w:type="gramEnd"/>
      <w:r w:rsidRPr="00601C07">
        <w:rPr>
          <w:lang w:val="fr-CA"/>
        </w:rPr>
        <w:t xml:space="preserve"> installé</w:t>
      </w:r>
      <w:r w:rsidR="003E21ED">
        <w:rPr>
          <w:lang w:val="fr-CA"/>
        </w:rPr>
        <w:t>s</w:t>
      </w:r>
      <w:r w:rsidRPr="00601C07">
        <w:rPr>
          <w:lang w:val="fr-CA"/>
        </w:rPr>
        <w:t xml:space="preserve"> sur le mur extérieur à côté de la porte d</w:t>
      </w:r>
      <w:r w:rsidR="00561899">
        <w:rPr>
          <w:lang w:val="fr-CA"/>
        </w:rPr>
        <w:t>’</w:t>
      </w:r>
      <w:r w:rsidRPr="00601C07">
        <w:rPr>
          <w:lang w:val="fr-CA"/>
        </w:rPr>
        <w:t>entrée, si possible.</w:t>
      </w:r>
    </w:p>
    <w:p w14:paraId="65EE2BD6" w14:textId="013F674A" w:rsidR="00712AAD" w:rsidRPr="00601C07" w:rsidRDefault="00D05C50" w:rsidP="003F66F0">
      <w:pPr>
        <w:pStyle w:val="ListRef"/>
        <w:numPr>
          <w:ilvl w:val="1"/>
          <w:numId w:val="48"/>
        </w:numPr>
        <w:rPr>
          <w:lang w:val="fr-CA"/>
        </w:rPr>
      </w:pPr>
      <w:proofErr w:type="gramStart"/>
      <w:r>
        <w:rPr>
          <w:lang w:val="fr-CA"/>
        </w:rPr>
        <w:t>l</w:t>
      </w:r>
      <w:r w:rsidR="00712AAD" w:rsidRPr="00601C07">
        <w:rPr>
          <w:lang w:val="fr-CA"/>
        </w:rPr>
        <w:t>orsque</w:t>
      </w:r>
      <w:proofErr w:type="gramEnd"/>
      <w:r w:rsidR="00712AAD" w:rsidRPr="00601C07">
        <w:rPr>
          <w:lang w:val="fr-CA"/>
        </w:rPr>
        <w:t xml:space="preserve"> ce placement n</w:t>
      </w:r>
      <w:r w:rsidR="00561899">
        <w:rPr>
          <w:lang w:val="fr-CA"/>
        </w:rPr>
        <w:t>’</w:t>
      </w:r>
      <w:r w:rsidR="00712AAD" w:rsidRPr="00601C07">
        <w:rPr>
          <w:lang w:val="fr-CA"/>
        </w:rPr>
        <w:t>est pas possible en raison d</w:t>
      </w:r>
      <w:r w:rsidR="007A7D13">
        <w:rPr>
          <w:lang w:val="fr-CA"/>
        </w:rPr>
        <w:t>’un</w:t>
      </w:r>
      <w:r w:rsidR="00712AAD" w:rsidRPr="00601C07">
        <w:rPr>
          <w:lang w:val="fr-CA"/>
        </w:rPr>
        <w:t xml:space="preserve"> espace mural limité, être installé</w:t>
      </w:r>
      <w:r w:rsidR="003E21ED">
        <w:rPr>
          <w:lang w:val="fr-CA"/>
        </w:rPr>
        <w:t>s</w:t>
      </w:r>
      <w:r w:rsidR="00712AAD" w:rsidRPr="00601C07">
        <w:rPr>
          <w:lang w:val="fr-CA"/>
        </w:rPr>
        <w:t xml:space="preserve"> au centre de la porte </w:t>
      </w:r>
      <w:r w:rsidR="00EE1DA5">
        <w:rPr>
          <w:lang w:val="fr-CA"/>
        </w:rPr>
        <w:t>avec un ax</w:t>
      </w:r>
      <w:r w:rsidR="00BB5FE9">
        <w:rPr>
          <w:lang w:val="fr-CA"/>
        </w:rPr>
        <w:t>e</w:t>
      </w:r>
      <w:r w:rsidR="00EE1DA5">
        <w:rPr>
          <w:lang w:val="fr-CA"/>
        </w:rPr>
        <w:t xml:space="preserve"> </w:t>
      </w:r>
      <w:r w:rsidR="004F0397">
        <w:rPr>
          <w:lang w:val="fr-CA"/>
        </w:rPr>
        <w:t xml:space="preserve">à </w:t>
      </w:r>
      <w:r w:rsidR="00712AAD" w:rsidRPr="00601C07">
        <w:rPr>
          <w:lang w:val="fr-CA"/>
        </w:rPr>
        <w:t>1500</w:t>
      </w:r>
      <w:r w:rsidR="003B2C52">
        <w:rPr>
          <w:lang w:val="fr-CA"/>
        </w:rPr>
        <w:t> </w:t>
      </w:r>
      <w:r w:rsidR="00712AAD" w:rsidRPr="00601C07">
        <w:rPr>
          <w:lang w:val="fr-CA"/>
        </w:rPr>
        <w:t xml:space="preserve">mm au-dessus du sol, à condition que le panneau ne dépasse pas </w:t>
      </w:r>
      <w:r w:rsidR="004F0397">
        <w:rPr>
          <w:lang w:val="fr-CA"/>
        </w:rPr>
        <w:t>et</w:t>
      </w:r>
      <w:r w:rsidR="00712AAD" w:rsidRPr="00601C07">
        <w:rPr>
          <w:lang w:val="fr-CA"/>
        </w:rPr>
        <w:t xml:space="preserve"> ne présente </w:t>
      </w:r>
      <w:r w:rsidR="004F0397">
        <w:rPr>
          <w:lang w:val="fr-CA"/>
        </w:rPr>
        <w:t>aucun</w:t>
      </w:r>
      <w:r w:rsidR="00712AAD" w:rsidRPr="00601C07">
        <w:rPr>
          <w:lang w:val="fr-CA"/>
        </w:rPr>
        <w:t xml:space="preserve"> danger. Dans ce cas, le Symbole international d</w:t>
      </w:r>
      <w:r w:rsidR="00561899">
        <w:rPr>
          <w:lang w:val="fr-CA"/>
        </w:rPr>
        <w:t>’</w:t>
      </w:r>
      <w:r w:rsidR="00AE70C3" w:rsidRPr="00601C07">
        <w:rPr>
          <w:lang w:val="fr-CA"/>
        </w:rPr>
        <w:t>acc</w:t>
      </w:r>
      <w:r w:rsidR="00AE70C3">
        <w:rPr>
          <w:lang w:val="fr-CA"/>
        </w:rPr>
        <w:t>essibilité</w:t>
      </w:r>
      <w:r w:rsidR="00712AAD" w:rsidRPr="00601C07">
        <w:rPr>
          <w:lang w:val="fr-CA"/>
        </w:rPr>
        <w:t xml:space="preserve"> doit être installé sous le panneau,</w:t>
      </w:r>
      <w:r w:rsidR="00EE345B">
        <w:rPr>
          <w:lang w:val="fr-CA"/>
        </w:rPr>
        <w:t xml:space="preserve"> dont l’axe se trouve à </w:t>
      </w:r>
      <w:r w:rsidR="00712AAD" w:rsidRPr="00601C07">
        <w:rPr>
          <w:lang w:val="fr-CA"/>
        </w:rPr>
        <w:t>1350</w:t>
      </w:r>
      <w:r w:rsidR="003B2C52">
        <w:rPr>
          <w:lang w:val="fr-CA"/>
        </w:rPr>
        <w:t> </w:t>
      </w:r>
      <w:r w:rsidR="00712AAD" w:rsidRPr="00601C07">
        <w:rPr>
          <w:lang w:val="fr-CA"/>
        </w:rPr>
        <w:t>mm au-dessus du sol.</w:t>
      </w:r>
    </w:p>
    <w:p w14:paraId="0992DC41" w14:textId="22A91ACA" w:rsidR="00712AAD" w:rsidRPr="00601C07" w:rsidRDefault="00411781" w:rsidP="00712AAD">
      <w:pPr>
        <w:pStyle w:val="ListRef"/>
        <w:ind w:left="1599" w:firstLine="0"/>
        <w:rPr>
          <w:lang w:val="fr-CA"/>
        </w:rPr>
      </w:pPr>
      <w:r>
        <w:rPr>
          <w:rStyle w:val="EmphasisUseSparingly"/>
          <w:lang w:val="fr-CA"/>
        </w:rPr>
        <w:lastRenderedPageBreak/>
        <w:t>Remarque</w:t>
      </w:r>
      <w:r w:rsidR="001C5600">
        <w:rPr>
          <w:rStyle w:val="EmphasisUseSparingly"/>
          <w:lang w:val="fr-CA"/>
        </w:rPr>
        <w:t> </w:t>
      </w:r>
      <w:r w:rsidR="00712AAD" w:rsidRPr="00601C07">
        <w:rPr>
          <w:rStyle w:val="EmphasisUseSparingly"/>
          <w:lang w:val="fr-CA"/>
        </w:rPr>
        <w:t>:</w:t>
      </w:r>
      <w:r w:rsidR="00712AAD" w:rsidRPr="00601C07">
        <w:rPr>
          <w:lang w:val="fr-CA"/>
        </w:rPr>
        <w:t xml:space="preserve"> Il n</w:t>
      </w:r>
      <w:r w:rsidR="00561899">
        <w:rPr>
          <w:lang w:val="fr-CA"/>
        </w:rPr>
        <w:t>’</w:t>
      </w:r>
      <w:r w:rsidR="00712AAD" w:rsidRPr="00601C07">
        <w:rPr>
          <w:lang w:val="fr-CA"/>
        </w:rPr>
        <w:t>est pas recommandé d</w:t>
      </w:r>
      <w:r w:rsidR="00561899">
        <w:rPr>
          <w:lang w:val="fr-CA"/>
        </w:rPr>
        <w:t>’</w:t>
      </w:r>
      <w:r w:rsidR="00712AAD" w:rsidRPr="00601C07">
        <w:rPr>
          <w:lang w:val="fr-CA"/>
        </w:rPr>
        <w:t xml:space="preserve">installer des panneaux tactiles et braille directement sur les portes en raison des </w:t>
      </w:r>
      <w:proofErr w:type="gramStart"/>
      <w:r w:rsidR="00712AAD" w:rsidRPr="00601C07">
        <w:rPr>
          <w:lang w:val="fr-CA"/>
        </w:rPr>
        <w:t>risques potentiels</w:t>
      </w:r>
      <w:proofErr w:type="gramEnd"/>
      <w:r w:rsidR="00712AAD" w:rsidRPr="00601C07">
        <w:rPr>
          <w:lang w:val="fr-CA"/>
        </w:rPr>
        <w:t xml:space="preserve"> pour la sécurité lors de l</w:t>
      </w:r>
      <w:r w:rsidR="00561899">
        <w:rPr>
          <w:lang w:val="fr-CA"/>
        </w:rPr>
        <w:t>’</w:t>
      </w:r>
      <w:r w:rsidR="00712AAD" w:rsidRPr="00601C07">
        <w:rPr>
          <w:lang w:val="fr-CA"/>
        </w:rPr>
        <w:t>utilisation. Lorsqu</w:t>
      </w:r>
      <w:r w:rsidR="007B7F75">
        <w:rPr>
          <w:lang w:val="fr-CA"/>
        </w:rPr>
        <w:t>’</w:t>
      </w:r>
      <w:r w:rsidR="00712AAD" w:rsidRPr="00601C07">
        <w:rPr>
          <w:lang w:val="fr-CA"/>
        </w:rPr>
        <w:t>aucune surface de fixation adjacente n</w:t>
      </w:r>
      <w:r w:rsidR="00561899">
        <w:rPr>
          <w:lang w:val="fr-CA"/>
        </w:rPr>
        <w:t>’</w:t>
      </w:r>
      <w:r w:rsidR="00712AAD" w:rsidRPr="00601C07">
        <w:rPr>
          <w:lang w:val="fr-CA"/>
        </w:rPr>
        <w:t>est disponible (</w:t>
      </w:r>
      <w:r w:rsidR="00D509D0">
        <w:rPr>
          <w:lang w:val="fr-CA"/>
        </w:rPr>
        <w:t>p.</w:t>
      </w:r>
      <w:r w:rsidR="006A7DB9">
        <w:rPr>
          <w:lang w:val="fr-CA"/>
        </w:rPr>
        <w:t xml:space="preserve"> </w:t>
      </w:r>
      <w:r w:rsidR="00D509D0">
        <w:rPr>
          <w:lang w:val="fr-CA"/>
        </w:rPr>
        <w:t>ex</w:t>
      </w:r>
      <w:r w:rsidR="00020BEB">
        <w:rPr>
          <w:lang w:val="fr-CA"/>
        </w:rPr>
        <w:t>.</w:t>
      </w:r>
      <w:r w:rsidR="00712AAD" w:rsidRPr="00601C07">
        <w:rPr>
          <w:lang w:val="fr-CA"/>
        </w:rPr>
        <w:t xml:space="preserve"> d</w:t>
      </w:r>
      <w:r w:rsidR="00020BEB">
        <w:rPr>
          <w:lang w:val="fr-CA"/>
        </w:rPr>
        <w:t>ans les cabines</w:t>
      </w:r>
      <w:r w:rsidR="00712AAD" w:rsidRPr="00601C07">
        <w:rPr>
          <w:lang w:val="fr-CA"/>
        </w:rPr>
        <w:t xml:space="preserve"> de toilettes porta</w:t>
      </w:r>
      <w:r w:rsidR="00020BEB">
        <w:rPr>
          <w:lang w:val="fr-CA"/>
        </w:rPr>
        <w:t>bles</w:t>
      </w:r>
      <w:r w:rsidR="00712AAD" w:rsidRPr="00601C07">
        <w:rPr>
          <w:lang w:val="fr-CA"/>
        </w:rPr>
        <w:t xml:space="preserve">), la signalisation montée sur les portes peut être utilisée en dernier recours. Dans de tels cas, </w:t>
      </w:r>
      <w:r w:rsidR="00AA354E">
        <w:rPr>
          <w:lang w:val="fr-CA"/>
        </w:rPr>
        <w:t xml:space="preserve">veillez </w:t>
      </w:r>
      <w:r w:rsidR="00AA354E">
        <w:rPr>
          <w:rFonts w:cs="Arial"/>
          <w:lang w:val="fr-CA"/>
        </w:rPr>
        <w:t>à</w:t>
      </w:r>
      <w:r w:rsidR="00AA354E">
        <w:rPr>
          <w:lang w:val="fr-CA"/>
        </w:rPr>
        <w:t xml:space="preserve"> ce</w:t>
      </w:r>
      <w:r w:rsidR="00712AAD" w:rsidRPr="00601C07">
        <w:rPr>
          <w:lang w:val="fr-CA"/>
        </w:rPr>
        <w:t xml:space="preserve"> que la porte s</w:t>
      </w:r>
      <w:r w:rsidR="00561899">
        <w:rPr>
          <w:lang w:val="fr-CA"/>
        </w:rPr>
        <w:t>’</w:t>
      </w:r>
      <w:r w:rsidR="00712AAD" w:rsidRPr="00601C07">
        <w:rPr>
          <w:lang w:val="fr-CA"/>
        </w:rPr>
        <w:t>ouvre vers l</w:t>
      </w:r>
      <w:r w:rsidR="00561899">
        <w:rPr>
          <w:lang w:val="fr-CA"/>
        </w:rPr>
        <w:t>’</w:t>
      </w:r>
      <w:r w:rsidR="00712AAD" w:rsidRPr="00601C07">
        <w:rPr>
          <w:lang w:val="fr-CA"/>
        </w:rPr>
        <w:t xml:space="preserve">intérieur et que le panneau soit fixé à fleur </w:t>
      </w:r>
      <w:r w:rsidR="004B2869">
        <w:rPr>
          <w:lang w:val="fr-CA"/>
        </w:rPr>
        <w:t xml:space="preserve">de porte </w:t>
      </w:r>
      <w:r w:rsidR="00712AAD" w:rsidRPr="00601C07">
        <w:rPr>
          <w:lang w:val="fr-CA"/>
        </w:rPr>
        <w:t xml:space="preserve">avec un </w:t>
      </w:r>
      <w:r w:rsidR="004B2869">
        <w:rPr>
          <w:lang w:val="fr-CA"/>
        </w:rPr>
        <w:t>dépassement</w:t>
      </w:r>
      <w:r w:rsidR="00712AAD" w:rsidRPr="00601C07">
        <w:rPr>
          <w:lang w:val="fr-CA"/>
        </w:rPr>
        <w:t xml:space="preserve"> minimal. Si possible, envisagez d</w:t>
      </w:r>
      <w:r w:rsidR="004B2869">
        <w:rPr>
          <w:lang w:val="fr-CA"/>
        </w:rPr>
        <w:t>’ajouter d</w:t>
      </w:r>
      <w:r w:rsidR="00712AAD" w:rsidRPr="00601C07">
        <w:rPr>
          <w:lang w:val="fr-CA"/>
        </w:rPr>
        <w:t xml:space="preserve">es </w:t>
      </w:r>
      <w:r w:rsidR="00323392">
        <w:rPr>
          <w:lang w:val="fr-CA"/>
        </w:rPr>
        <w:t>indices</w:t>
      </w:r>
      <w:r w:rsidR="00712AAD" w:rsidRPr="00601C07">
        <w:rPr>
          <w:lang w:val="fr-CA"/>
        </w:rPr>
        <w:t xml:space="preserve"> tactiles</w:t>
      </w:r>
      <w:r w:rsidR="004F3482">
        <w:rPr>
          <w:lang w:val="fr-CA"/>
        </w:rPr>
        <w:t xml:space="preserve"> supplémentaires</w:t>
      </w:r>
      <w:r w:rsidR="00712AAD" w:rsidRPr="00601C07">
        <w:rPr>
          <w:lang w:val="fr-CA"/>
        </w:rPr>
        <w:t xml:space="preserve"> </w:t>
      </w:r>
      <w:r w:rsidR="004B2869">
        <w:rPr>
          <w:lang w:val="fr-CA"/>
        </w:rPr>
        <w:t>à proximité</w:t>
      </w:r>
      <w:r w:rsidR="00712AAD" w:rsidRPr="00601C07">
        <w:rPr>
          <w:lang w:val="fr-CA"/>
        </w:rPr>
        <w:t xml:space="preserve"> de la zone d</w:t>
      </w:r>
      <w:r w:rsidR="00561899">
        <w:rPr>
          <w:lang w:val="fr-CA"/>
        </w:rPr>
        <w:t>’</w:t>
      </w:r>
      <w:r w:rsidR="00712AAD" w:rsidRPr="00601C07">
        <w:rPr>
          <w:lang w:val="fr-CA"/>
        </w:rPr>
        <w:t xml:space="preserve">approche </w:t>
      </w:r>
      <w:r w:rsidR="004B2869">
        <w:rPr>
          <w:lang w:val="fr-CA"/>
        </w:rPr>
        <w:t>afin</w:t>
      </w:r>
      <w:r w:rsidR="00712AAD" w:rsidRPr="00601C07">
        <w:rPr>
          <w:lang w:val="fr-CA"/>
        </w:rPr>
        <w:t xml:space="preserve"> </w:t>
      </w:r>
      <w:r w:rsidR="00D3367A">
        <w:rPr>
          <w:lang w:val="fr-CA"/>
        </w:rPr>
        <w:t>de faciliter la localisation du panneau</w:t>
      </w:r>
      <w:r w:rsidR="00712AAD" w:rsidRPr="00601C07">
        <w:rPr>
          <w:lang w:val="fr-CA"/>
        </w:rPr>
        <w:t>.</w:t>
      </w:r>
    </w:p>
    <w:p w14:paraId="62185080" w14:textId="462A57AA" w:rsidR="00712AAD" w:rsidRPr="007B1EF9" w:rsidRDefault="00712AAD" w:rsidP="003F66F0">
      <w:pPr>
        <w:pStyle w:val="ListRef"/>
        <w:numPr>
          <w:ilvl w:val="0"/>
          <w:numId w:val="48"/>
        </w:numPr>
        <w:rPr>
          <w:lang w:val="fr-CA"/>
        </w:rPr>
      </w:pPr>
      <w:proofErr w:type="gramStart"/>
      <w:r w:rsidRPr="00601C07">
        <w:rPr>
          <w:lang w:val="fr-CA"/>
        </w:rPr>
        <w:t>être</w:t>
      </w:r>
      <w:proofErr w:type="gramEnd"/>
      <w:r w:rsidRPr="00601C07">
        <w:rPr>
          <w:lang w:val="fr-CA"/>
        </w:rPr>
        <w:t xml:space="preserve"> installé</w:t>
      </w:r>
      <w:r w:rsidR="003E21ED">
        <w:rPr>
          <w:lang w:val="fr-CA"/>
        </w:rPr>
        <w:t xml:space="preserve">s </w:t>
      </w:r>
      <w:r w:rsidRPr="00601C07">
        <w:rPr>
          <w:lang w:val="fr-CA"/>
        </w:rPr>
        <w:t xml:space="preserve">du côté </w:t>
      </w:r>
      <w:r w:rsidR="005F6385">
        <w:rPr>
          <w:lang w:val="fr-CA"/>
        </w:rPr>
        <w:t>verrou</w:t>
      </w:r>
      <w:r w:rsidRPr="00601C07">
        <w:rPr>
          <w:lang w:val="fr-CA"/>
        </w:rPr>
        <w:t xml:space="preserve"> de la porte pour les panneaux d</w:t>
      </w:r>
      <w:r w:rsidR="00561899">
        <w:rPr>
          <w:lang w:val="fr-CA"/>
        </w:rPr>
        <w:t>’</w:t>
      </w:r>
      <w:r w:rsidRPr="00601C07">
        <w:rPr>
          <w:lang w:val="fr-CA"/>
        </w:rPr>
        <w:t>identification de pièce montés au mur (voir aussi l</w:t>
      </w:r>
      <w:r w:rsidR="007B1EF9">
        <w:rPr>
          <w:lang w:val="fr-CA"/>
        </w:rPr>
        <w:t>’article</w:t>
      </w:r>
      <w:r w:rsidRPr="00601C07">
        <w:rPr>
          <w:lang w:val="fr-CA"/>
        </w:rPr>
        <w:t xml:space="preserve"> </w:t>
      </w:r>
      <w:r w:rsidR="00511E15">
        <w:fldChar w:fldCharType="begin"/>
      </w:r>
      <w:r w:rsidR="00511E15" w:rsidRPr="007C0FBA">
        <w:rPr>
          <w:lang w:val="fr-CA"/>
        </w:rPr>
        <w:instrText>HYPERLINK \l "_Tactile_signs_at"</w:instrText>
      </w:r>
      <w:r w:rsidR="00511E15">
        <w:fldChar w:fldCharType="separate"/>
      </w:r>
      <w:r w:rsidR="00511E15" w:rsidRPr="007B1EF9">
        <w:rPr>
          <w:rStyle w:val="Hyperlink"/>
          <w:lang w:val="fr-CA"/>
        </w:rPr>
        <w:t>1</w:t>
      </w:r>
      <w:r w:rsidR="00865140">
        <w:rPr>
          <w:rStyle w:val="Hyperlink"/>
          <w:lang w:val="fr-CA"/>
        </w:rPr>
        <w:t>2</w:t>
      </w:r>
      <w:r w:rsidR="00511E15" w:rsidRPr="007B1EF9">
        <w:rPr>
          <w:rStyle w:val="Hyperlink"/>
          <w:lang w:val="fr-CA"/>
        </w:rPr>
        <w:t>.7.3</w:t>
      </w:r>
      <w:r w:rsidR="00511E15">
        <w:fldChar w:fldCharType="end"/>
      </w:r>
      <w:r w:rsidRPr="007B1EF9">
        <w:rPr>
          <w:lang w:val="fr-CA"/>
        </w:rPr>
        <w:t>);</w:t>
      </w:r>
    </w:p>
    <w:p w14:paraId="59D522C1" w14:textId="456372D1" w:rsidR="00712AAD" w:rsidRPr="007B1EF9" w:rsidRDefault="00712AAD" w:rsidP="003F66F0">
      <w:pPr>
        <w:pStyle w:val="ListRef"/>
        <w:numPr>
          <w:ilvl w:val="0"/>
          <w:numId w:val="48"/>
        </w:numPr>
        <w:rPr>
          <w:lang w:val="fr-CA"/>
        </w:rPr>
      </w:pPr>
      <w:proofErr w:type="gramStart"/>
      <w:r w:rsidRPr="007B1EF9">
        <w:rPr>
          <w:lang w:val="fr-CA"/>
        </w:rPr>
        <w:t>être</w:t>
      </w:r>
      <w:proofErr w:type="gramEnd"/>
      <w:r w:rsidRPr="007B1EF9">
        <w:rPr>
          <w:lang w:val="fr-CA"/>
        </w:rPr>
        <w:t xml:space="preserve"> situés à 1500</w:t>
      </w:r>
      <w:r w:rsidR="003B2C52">
        <w:rPr>
          <w:lang w:val="fr-CA"/>
        </w:rPr>
        <w:t> </w:t>
      </w:r>
      <w:r w:rsidRPr="007B1EF9">
        <w:rPr>
          <w:lang w:val="fr-CA"/>
        </w:rPr>
        <w:t>mm +/- 50</w:t>
      </w:r>
      <w:r w:rsidR="003B2C52">
        <w:rPr>
          <w:lang w:val="fr-CA"/>
        </w:rPr>
        <w:t> </w:t>
      </w:r>
      <w:r w:rsidRPr="007B1EF9">
        <w:rPr>
          <w:lang w:val="fr-CA"/>
        </w:rPr>
        <w:t>mm du sol lorsqu</w:t>
      </w:r>
      <w:r w:rsidR="00561899">
        <w:rPr>
          <w:lang w:val="fr-CA"/>
        </w:rPr>
        <w:t>’</w:t>
      </w:r>
      <w:r w:rsidRPr="007B1EF9">
        <w:rPr>
          <w:lang w:val="fr-CA"/>
        </w:rPr>
        <w:t>ils sont vis</w:t>
      </w:r>
      <w:r w:rsidR="003F321F">
        <w:rPr>
          <w:lang w:val="fr-CA"/>
        </w:rPr>
        <w:t>uels</w:t>
      </w:r>
      <w:r w:rsidRPr="007B1EF9">
        <w:rPr>
          <w:lang w:val="fr-CA"/>
        </w:rPr>
        <w:t xml:space="preserve"> et ne contiennent pas d</w:t>
      </w:r>
      <w:r w:rsidR="00561899">
        <w:rPr>
          <w:lang w:val="fr-CA"/>
        </w:rPr>
        <w:t>’</w:t>
      </w:r>
      <w:r w:rsidRPr="007B1EF9">
        <w:rPr>
          <w:lang w:val="fr-CA"/>
        </w:rPr>
        <w:t>éléments tactiles ou braille;</w:t>
      </w:r>
    </w:p>
    <w:bookmarkEnd w:id="635"/>
    <w:bookmarkEnd w:id="636"/>
    <w:p w14:paraId="5C9BA720" w14:textId="775DC979" w:rsidR="00712AAD" w:rsidRPr="007B1EF9" w:rsidRDefault="00712AAD" w:rsidP="003F66F0">
      <w:pPr>
        <w:pStyle w:val="ListRef"/>
        <w:numPr>
          <w:ilvl w:val="0"/>
          <w:numId w:val="48"/>
        </w:numPr>
        <w:rPr>
          <w:lang w:val="fr-CA"/>
        </w:rPr>
      </w:pPr>
      <w:proofErr w:type="gramStart"/>
      <w:r w:rsidRPr="007B1EF9">
        <w:rPr>
          <w:lang w:val="fr-CA"/>
        </w:rPr>
        <w:t>être</w:t>
      </w:r>
      <w:proofErr w:type="gramEnd"/>
      <w:r w:rsidRPr="007B1EF9">
        <w:rPr>
          <w:lang w:val="fr-CA"/>
        </w:rPr>
        <w:t xml:space="preserve"> installés à une hauteur de 1</w:t>
      </w:r>
      <w:r w:rsidR="00865140">
        <w:rPr>
          <w:lang w:val="fr-CA"/>
        </w:rPr>
        <w:t>15</w:t>
      </w:r>
      <w:r w:rsidRPr="007B1EF9">
        <w:rPr>
          <w:lang w:val="fr-CA"/>
        </w:rPr>
        <w:t>0</w:t>
      </w:r>
      <w:r w:rsidR="003B2C52">
        <w:rPr>
          <w:lang w:val="fr-CA"/>
        </w:rPr>
        <w:t> </w:t>
      </w:r>
      <w:r w:rsidRPr="007B1EF9">
        <w:rPr>
          <w:lang w:val="fr-CA"/>
        </w:rPr>
        <w:t>mm</w:t>
      </w:r>
      <w:r w:rsidR="00865140">
        <w:rPr>
          <w:lang w:val="fr-CA"/>
        </w:rPr>
        <w:t xml:space="preserve"> à</w:t>
      </w:r>
      <w:r w:rsidRPr="007B1EF9">
        <w:rPr>
          <w:lang w:val="fr-CA"/>
        </w:rPr>
        <w:t xml:space="preserve"> </w:t>
      </w:r>
      <w:r w:rsidR="00865140">
        <w:rPr>
          <w:lang w:val="fr-CA"/>
        </w:rPr>
        <w:t>12</w:t>
      </w:r>
      <w:r w:rsidRPr="007B1EF9">
        <w:rPr>
          <w:lang w:val="fr-CA"/>
        </w:rPr>
        <w:t>50</w:t>
      </w:r>
      <w:r w:rsidR="003B2C52">
        <w:rPr>
          <w:lang w:val="fr-CA"/>
        </w:rPr>
        <w:t> </w:t>
      </w:r>
      <w:r w:rsidRPr="007B1EF9">
        <w:rPr>
          <w:lang w:val="fr-CA"/>
        </w:rPr>
        <w:t xml:space="preserve">mm au-dessus du plancher pour ceux qui doivent inclure des éléments tactiles et </w:t>
      </w:r>
      <w:r w:rsidR="00487FD1">
        <w:rPr>
          <w:lang w:val="fr-CA"/>
        </w:rPr>
        <w:t xml:space="preserve">de </w:t>
      </w:r>
      <w:r w:rsidRPr="007B1EF9">
        <w:rPr>
          <w:lang w:val="fr-CA"/>
        </w:rPr>
        <w:t xml:space="preserve">braille (voir </w:t>
      </w:r>
      <w:r w:rsidR="00575647">
        <w:rPr>
          <w:lang w:val="fr-CA"/>
        </w:rPr>
        <w:t>les articles</w:t>
      </w:r>
      <w:r w:rsidRPr="007B1EF9">
        <w:rPr>
          <w:lang w:val="fr-CA"/>
        </w:rPr>
        <w:t xml:space="preserve"> </w:t>
      </w:r>
      <w:r w:rsidR="005C5621">
        <w:fldChar w:fldCharType="begin"/>
      </w:r>
      <w:r w:rsidR="005C5621" w:rsidRPr="007C0FBA">
        <w:rPr>
          <w:lang w:val="fr-CA"/>
        </w:rPr>
        <w:instrText>HYPERLINK \l "_Different_types_of"</w:instrText>
      </w:r>
      <w:r w:rsidR="005C5621">
        <w:fldChar w:fldCharType="separate"/>
      </w:r>
      <w:r w:rsidR="005C5621" w:rsidRPr="007B1EF9">
        <w:rPr>
          <w:rStyle w:val="Hyperlink"/>
          <w:lang w:val="fr-CA"/>
        </w:rPr>
        <w:t>1</w:t>
      </w:r>
      <w:r w:rsidR="00262511">
        <w:rPr>
          <w:rStyle w:val="Hyperlink"/>
          <w:lang w:val="fr-CA"/>
        </w:rPr>
        <w:t>2</w:t>
      </w:r>
      <w:r w:rsidR="005C5621" w:rsidRPr="007B1EF9">
        <w:rPr>
          <w:rStyle w:val="Hyperlink"/>
          <w:lang w:val="fr-CA"/>
        </w:rPr>
        <w:t>.2</w:t>
      </w:r>
      <w:r w:rsidR="005C5621">
        <w:fldChar w:fldCharType="end"/>
      </w:r>
      <w:r w:rsidRPr="007B1EF9">
        <w:rPr>
          <w:lang w:val="fr-CA"/>
        </w:rPr>
        <w:t xml:space="preserve"> et </w:t>
      </w:r>
      <w:r w:rsidR="005C5621">
        <w:fldChar w:fldCharType="begin"/>
      </w:r>
      <w:r w:rsidR="005C5621" w:rsidRPr="007C0FBA">
        <w:rPr>
          <w:lang w:val="fr-CA"/>
        </w:rPr>
        <w:instrText>HYPERLINK \l "_Tactile_signs"</w:instrText>
      </w:r>
      <w:r w:rsidR="005C5621">
        <w:fldChar w:fldCharType="separate"/>
      </w:r>
      <w:r w:rsidR="005C5621" w:rsidRPr="007B1EF9">
        <w:rPr>
          <w:rStyle w:val="Hyperlink"/>
          <w:lang w:val="fr-CA"/>
        </w:rPr>
        <w:t>1</w:t>
      </w:r>
      <w:r w:rsidR="00262511">
        <w:rPr>
          <w:rStyle w:val="Hyperlink"/>
          <w:lang w:val="fr-CA"/>
        </w:rPr>
        <w:t>2</w:t>
      </w:r>
      <w:r w:rsidR="005C5621" w:rsidRPr="007B1EF9">
        <w:rPr>
          <w:rStyle w:val="Hyperlink"/>
          <w:lang w:val="fr-CA"/>
        </w:rPr>
        <w:t>.7</w:t>
      </w:r>
      <w:r w:rsidR="005C5621">
        <w:fldChar w:fldCharType="end"/>
      </w:r>
      <w:r w:rsidRPr="007B1EF9">
        <w:rPr>
          <w:lang w:val="fr-CA"/>
        </w:rPr>
        <w:t>) en plus des éléments visuels (graphiques ou pictogrammes), la queue la plus basse de l</w:t>
      </w:r>
      <w:r w:rsidR="00561899">
        <w:rPr>
          <w:lang w:val="fr-CA"/>
        </w:rPr>
        <w:t>’</w:t>
      </w:r>
      <w:r w:rsidRPr="007B1EF9">
        <w:rPr>
          <w:lang w:val="fr-CA"/>
        </w:rPr>
        <w:t>élément tactile commençant à 1</w:t>
      </w:r>
      <w:r w:rsidR="009348C6">
        <w:rPr>
          <w:lang w:val="fr-CA"/>
        </w:rPr>
        <w:t>15</w:t>
      </w:r>
      <w:r w:rsidRPr="007B1EF9">
        <w:rPr>
          <w:lang w:val="fr-CA"/>
        </w:rPr>
        <w:t>0</w:t>
      </w:r>
      <w:r w:rsidR="003B2C52">
        <w:rPr>
          <w:lang w:val="fr-CA"/>
        </w:rPr>
        <w:t> </w:t>
      </w:r>
      <w:r w:rsidRPr="007B1EF9">
        <w:rPr>
          <w:lang w:val="fr-CA"/>
        </w:rPr>
        <w:t>mm et l</w:t>
      </w:r>
      <w:r w:rsidR="00561899">
        <w:rPr>
          <w:lang w:val="fr-CA"/>
        </w:rPr>
        <w:t>’</w:t>
      </w:r>
      <w:r w:rsidRPr="007B1EF9">
        <w:rPr>
          <w:lang w:val="fr-CA"/>
        </w:rPr>
        <w:t>extrémité supérieure ne dépassant pas 15</w:t>
      </w:r>
      <w:r w:rsidR="00652969">
        <w:rPr>
          <w:lang w:val="fr-CA"/>
        </w:rPr>
        <w:t>5</w:t>
      </w:r>
      <w:r w:rsidRPr="007B1EF9">
        <w:rPr>
          <w:lang w:val="fr-CA"/>
        </w:rPr>
        <w:t>00</w:t>
      </w:r>
      <w:r w:rsidR="003B2C52">
        <w:rPr>
          <w:lang w:val="fr-CA"/>
        </w:rPr>
        <w:t> </w:t>
      </w:r>
      <w:r w:rsidRPr="007B1EF9">
        <w:rPr>
          <w:lang w:val="fr-CA"/>
        </w:rPr>
        <w:t>mm;</w:t>
      </w:r>
    </w:p>
    <w:p w14:paraId="503E33D7" w14:textId="699768C4" w:rsidR="00712AAD" w:rsidRPr="007B1EF9" w:rsidRDefault="00627513" w:rsidP="00712AAD">
      <w:pPr>
        <w:pStyle w:val="ListRef"/>
        <w:ind w:left="1066" w:firstLine="0"/>
        <w:rPr>
          <w:lang w:val="fr-CA"/>
        </w:rPr>
      </w:pPr>
      <w:r>
        <w:rPr>
          <w:rStyle w:val="EmphasisUseSparingly"/>
          <w:lang w:val="fr-CA"/>
        </w:rPr>
        <w:t>Remarque</w:t>
      </w:r>
      <w:r w:rsidR="00712AAD" w:rsidRPr="007B1EF9">
        <w:rPr>
          <w:rStyle w:val="EmphasisUseSparingly"/>
          <w:lang w:val="fr-CA"/>
        </w:rPr>
        <w:t xml:space="preserve"> 1</w:t>
      </w:r>
      <w:r w:rsidR="001C5600">
        <w:rPr>
          <w:rStyle w:val="EmphasisUseSparingly"/>
          <w:lang w:val="fr-CA"/>
        </w:rPr>
        <w:t> </w:t>
      </w:r>
      <w:r w:rsidR="00712AAD" w:rsidRPr="007B1EF9">
        <w:rPr>
          <w:rStyle w:val="EmphasisUseSparingly"/>
          <w:lang w:val="fr-CA"/>
        </w:rPr>
        <w:t>:</w:t>
      </w:r>
      <w:r w:rsidR="00712AAD" w:rsidRPr="007B1EF9">
        <w:rPr>
          <w:lang w:val="fr-CA"/>
        </w:rPr>
        <w:t xml:space="preserve"> Ils </w:t>
      </w:r>
      <w:r w:rsidR="00652969">
        <w:rPr>
          <w:lang w:val="fr-CA"/>
        </w:rPr>
        <w:t>devrai</w:t>
      </w:r>
      <w:r w:rsidR="00712AAD" w:rsidRPr="007B1EF9">
        <w:rPr>
          <w:lang w:val="fr-CA"/>
        </w:rPr>
        <w:t xml:space="preserve">ent être faciles à localiser et placés de </w:t>
      </w:r>
      <w:r w:rsidR="008E5DE3">
        <w:rPr>
          <w:lang w:val="fr-CA"/>
        </w:rPr>
        <w:t>manière cohérente</w:t>
      </w:r>
      <w:r w:rsidR="00712AAD" w:rsidRPr="007B1EF9">
        <w:rPr>
          <w:lang w:val="fr-CA"/>
        </w:rPr>
        <w:t xml:space="preserve"> à des endroits prévisibles sur un campus</w:t>
      </w:r>
      <w:r w:rsidR="008E5DE3">
        <w:rPr>
          <w:lang w:val="fr-CA"/>
        </w:rPr>
        <w:t xml:space="preserve">, dans </w:t>
      </w:r>
      <w:r w:rsidR="00712AAD" w:rsidRPr="007B1EF9">
        <w:rPr>
          <w:lang w:val="fr-CA"/>
        </w:rPr>
        <w:t>une inst</w:t>
      </w:r>
      <w:r w:rsidR="005301D5">
        <w:rPr>
          <w:lang w:val="fr-CA"/>
        </w:rPr>
        <w:t>allation</w:t>
      </w:r>
      <w:r w:rsidR="00712AAD" w:rsidRPr="007B1EF9">
        <w:rPr>
          <w:lang w:val="fr-CA"/>
        </w:rPr>
        <w:t xml:space="preserve"> ou </w:t>
      </w:r>
      <w:bookmarkStart w:id="637" w:name="_Hlk178595916"/>
      <w:r w:rsidR="00673036" w:rsidRPr="007B1EF9">
        <w:rPr>
          <w:lang w:val="fr-CA"/>
        </w:rPr>
        <w:t>un bâtiment</w:t>
      </w:r>
      <w:r w:rsidR="00673036">
        <w:rPr>
          <w:lang w:val="fr-CA"/>
        </w:rPr>
        <w:t xml:space="preserve"> déterminé</w:t>
      </w:r>
      <w:r w:rsidR="005A52A8">
        <w:rPr>
          <w:lang w:val="fr-CA"/>
        </w:rPr>
        <w:t>.</w:t>
      </w:r>
    </w:p>
    <w:p w14:paraId="1CB07D95" w14:textId="091E8B28" w:rsidR="00712AAD" w:rsidRPr="007B1EF9" w:rsidRDefault="00093CBD" w:rsidP="00712AAD">
      <w:pPr>
        <w:pStyle w:val="ListRef"/>
        <w:ind w:left="1066" w:firstLine="0"/>
        <w:rPr>
          <w:lang w:val="fr-CA"/>
        </w:rPr>
      </w:pPr>
      <w:r>
        <w:rPr>
          <w:rStyle w:val="EmphasisUseSparingly"/>
          <w:lang w:val="fr-CA"/>
        </w:rPr>
        <w:t>Remarque</w:t>
      </w:r>
      <w:r w:rsidR="00712AAD" w:rsidRPr="007B1EF9">
        <w:rPr>
          <w:rStyle w:val="EmphasisUseSparingly"/>
          <w:lang w:val="fr-CA"/>
        </w:rPr>
        <w:t xml:space="preserve"> 2</w:t>
      </w:r>
      <w:r w:rsidR="001C5600">
        <w:rPr>
          <w:rStyle w:val="EmphasisUseSparingly"/>
          <w:lang w:val="fr-CA"/>
        </w:rPr>
        <w:t> </w:t>
      </w:r>
      <w:r w:rsidR="00712AAD" w:rsidRPr="007B1EF9">
        <w:rPr>
          <w:rStyle w:val="EmphasisUseSparingly"/>
          <w:lang w:val="fr-CA"/>
        </w:rPr>
        <w:t>:</w:t>
      </w:r>
      <w:r w:rsidR="00712AAD" w:rsidRPr="007B1EF9">
        <w:rPr>
          <w:lang w:val="fr-CA"/>
        </w:rPr>
        <w:t xml:space="preserve"> Voir les articles </w:t>
      </w:r>
      <w:r w:rsidR="00FA2417">
        <w:fldChar w:fldCharType="begin"/>
      </w:r>
      <w:r w:rsidR="00FA2417" w:rsidRPr="007C0FBA">
        <w:rPr>
          <w:lang w:val="fr-CA"/>
        </w:rPr>
        <w:instrText>HYPERLINK \l "_Tactile_sign_design"</w:instrText>
      </w:r>
      <w:r w:rsidR="00FA2417">
        <w:fldChar w:fldCharType="separate"/>
      </w:r>
      <w:r w:rsidR="00FA2417" w:rsidRPr="007B1EF9">
        <w:rPr>
          <w:rStyle w:val="Hyperlink"/>
          <w:lang w:val="fr-CA"/>
        </w:rPr>
        <w:t>1</w:t>
      </w:r>
      <w:r w:rsidR="00596363">
        <w:rPr>
          <w:rStyle w:val="Hyperlink"/>
          <w:lang w:val="fr-CA"/>
        </w:rPr>
        <w:t>2</w:t>
      </w:r>
      <w:r w:rsidR="00FA2417" w:rsidRPr="007B1EF9">
        <w:rPr>
          <w:rStyle w:val="Hyperlink"/>
          <w:lang w:val="fr-CA"/>
        </w:rPr>
        <w:t>.7.1</w:t>
      </w:r>
      <w:r w:rsidR="00FA2417">
        <w:fldChar w:fldCharType="end"/>
      </w:r>
      <w:r w:rsidR="00712AAD" w:rsidRPr="007B1EF9">
        <w:rPr>
          <w:lang w:val="fr-CA"/>
        </w:rPr>
        <w:t xml:space="preserve"> et </w:t>
      </w:r>
      <w:r w:rsidR="00FA2417">
        <w:fldChar w:fldCharType="begin"/>
      </w:r>
      <w:r w:rsidR="00FA2417" w:rsidRPr="007C0FBA">
        <w:rPr>
          <w:lang w:val="fr-CA"/>
        </w:rPr>
        <w:instrText>HYPERLINK \l "_Tactile_signs_at"</w:instrText>
      </w:r>
      <w:r w:rsidR="00FA2417">
        <w:fldChar w:fldCharType="separate"/>
      </w:r>
      <w:r w:rsidR="00FA2417" w:rsidRPr="007B1EF9">
        <w:rPr>
          <w:rStyle w:val="Hyperlink"/>
          <w:lang w:val="fr-CA"/>
        </w:rPr>
        <w:t>1</w:t>
      </w:r>
      <w:r w:rsidR="00596363">
        <w:rPr>
          <w:rStyle w:val="Hyperlink"/>
          <w:lang w:val="fr-CA"/>
        </w:rPr>
        <w:t>2</w:t>
      </w:r>
      <w:r w:rsidR="00FA2417" w:rsidRPr="007B1EF9">
        <w:rPr>
          <w:rStyle w:val="Hyperlink"/>
          <w:lang w:val="fr-CA"/>
        </w:rPr>
        <w:t>.7.3</w:t>
      </w:r>
      <w:r w:rsidR="00FA2417">
        <w:fldChar w:fldCharType="end"/>
      </w:r>
      <w:r w:rsidR="00712AAD" w:rsidRPr="007B1EF9">
        <w:rPr>
          <w:lang w:val="fr-CA"/>
        </w:rPr>
        <w:t xml:space="preserve"> pour des exigences supplémentaires concernant les </w:t>
      </w:r>
      <w:r>
        <w:rPr>
          <w:lang w:val="fr-CA"/>
        </w:rPr>
        <w:t>panneaux</w:t>
      </w:r>
      <w:r w:rsidR="00712AAD" w:rsidRPr="007B1EF9">
        <w:rPr>
          <w:lang w:val="fr-CA"/>
        </w:rPr>
        <w:t xml:space="preserve"> tactiles.</w:t>
      </w:r>
    </w:p>
    <w:p w14:paraId="2BCD1F18" w14:textId="24C949C7" w:rsidR="00712AAD" w:rsidRPr="007B1EF9" w:rsidRDefault="00C72A48" w:rsidP="00712AAD">
      <w:pPr>
        <w:pStyle w:val="ListRef"/>
        <w:ind w:left="1066" w:firstLine="0"/>
        <w:rPr>
          <w:lang w:val="fr-CA"/>
        </w:rPr>
      </w:pPr>
      <w:r>
        <w:rPr>
          <w:rStyle w:val="EmphasisUseSparingly"/>
          <w:lang w:val="fr-CA"/>
        </w:rPr>
        <w:t>Remarque</w:t>
      </w:r>
      <w:r w:rsidR="00712AAD" w:rsidRPr="007B1EF9">
        <w:rPr>
          <w:rStyle w:val="EmphasisUseSparingly"/>
          <w:lang w:val="fr-CA"/>
        </w:rPr>
        <w:t xml:space="preserve"> 3</w:t>
      </w:r>
      <w:r w:rsidR="001C5600">
        <w:rPr>
          <w:rStyle w:val="EmphasisUseSparingly"/>
          <w:lang w:val="fr-CA"/>
        </w:rPr>
        <w:t> </w:t>
      </w:r>
      <w:r w:rsidR="00712AAD" w:rsidRPr="007B1EF9">
        <w:rPr>
          <w:rStyle w:val="EmphasisUseSparingly"/>
          <w:lang w:val="fr-CA"/>
        </w:rPr>
        <w:t>:</w:t>
      </w:r>
      <w:r w:rsidR="00712AAD" w:rsidRPr="007B1EF9">
        <w:rPr>
          <w:lang w:val="fr-CA"/>
        </w:rPr>
        <w:t xml:space="preserve"> Une exception peut être faite pour les panneaux spécialement conçus pour les enfants, où les exigences </w:t>
      </w:r>
      <w:r w:rsidR="007B3DC4">
        <w:rPr>
          <w:lang w:val="fr-CA"/>
        </w:rPr>
        <w:t>relatives à la</w:t>
      </w:r>
      <w:r w:rsidR="00712AAD" w:rsidRPr="007B1EF9">
        <w:rPr>
          <w:lang w:val="fr-CA"/>
        </w:rPr>
        <w:t xml:space="preserve"> hauteur d</w:t>
      </w:r>
      <w:r w:rsidR="00561899">
        <w:rPr>
          <w:lang w:val="fr-CA"/>
        </w:rPr>
        <w:t>’</w:t>
      </w:r>
      <w:r w:rsidR="00712AAD" w:rsidRPr="007B1EF9">
        <w:rPr>
          <w:lang w:val="fr-CA"/>
        </w:rPr>
        <w:t xml:space="preserve">installation peuvent être </w:t>
      </w:r>
      <w:r w:rsidR="004E6F08">
        <w:rPr>
          <w:lang w:val="fr-CA"/>
        </w:rPr>
        <w:t>r</w:t>
      </w:r>
      <w:r w:rsidR="004E6F08">
        <w:rPr>
          <w:rFonts w:cs="Arial"/>
          <w:lang w:val="fr-CA"/>
        </w:rPr>
        <w:t>é</w:t>
      </w:r>
      <w:r w:rsidR="004E6F08">
        <w:rPr>
          <w:lang w:val="fr-CA"/>
        </w:rPr>
        <w:t>duites</w:t>
      </w:r>
      <w:r w:rsidR="00712AAD" w:rsidRPr="007B1EF9">
        <w:rPr>
          <w:lang w:val="fr-CA"/>
        </w:rPr>
        <w:t>.</w:t>
      </w:r>
    </w:p>
    <w:bookmarkEnd w:id="637"/>
    <w:p w14:paraId="772E9569" w14:textId="26709225" w:rsidR="00712AAD" w:rsidRPr="007B1EF9" w:rsidRDefault="00712AAD" w:rsidP="003F66F0">
      <w:pPr>
        <w:pStyle w:val="ListRef"/>
        <w:numPr>
          <w:ilvl w:val="0"/>
          <w:numId w:val="48"/>
        </w:numPr>
        <w:rPr>
          <w:lang w:val="fr-CA"/>
        </w:rPr>
      </w:pPr>
      <w:proofErr w:type="gramStart"/>
      <w:r w:rsidRPr="007B1EF9">
        <w:rPr>
          <w:lang w:val="fr-CA"/>
        </w:rPr>
        <w:lastRenderedPageBreak/>
        <w:t>inclure</w:t>
      </w:r>
      <w:proofErr w:type="gramEnd"/>
      <w:r w:rsidRPr="007B1EF9">
        <w:rPr>
          <w:lang w:val="fr-CA"/>
        </w:rPr>
        <w:t xml:space="preserve"> des tolérances pour un placement plus bas dans des contextes où les usagers du bâtiment, comme les enfants, doivent exiger un panneau plus bas;</w:t>
      </w:r>
    </w:p>
    <w:p w14:paraId="5126E39A" w14:textId="26E185CD" w:rsidR="00712AAD" w:rsidRPr="00590F7C" w:rsidRDefault="00712AAD" w:rsidP="003F66F0">
      <w:pPr>
        <w:pStyle w:val="ListRef"/>
        <w:numPr>
          <w:ilvl w:val="0"/>
          <w:numId w:val="48"/>
        </w:numPr>
        <w:rPr>
          <w:lang w:val="fr-CA"/>
        </w:rPr>
      </w:pPr>
      <w:proofErr w:type="gramStart"/>
      <w:r w:rsidRPr="007B1EF9">
        <w:rPr>
          <w:lang w:val="fr-CA"/>
        </w:rPr>
        <w:t>être</w:t>
      </w:r>
      <w:proofErr w:type="gramEnd"/>
      <w:r w:rsidRPr="007B1EF9">
        <w:rPr>
          <w:lang w:val="fr-CA"/>
        </w:rPr>
        <w:t xml:space="preserve"> détectable</w:t>
      </w:r>
      <w:r w:rsidR="00773FF0">
        <w:rPr>
          <w:lang w:val="fr-CA"/>
        </w:rPr>
        <w:t>s</w:t>
      </w:r>
      <w:r w:rsidRPr="007B1EF9">
        <w:rPr>
          <w:lang w:val="fr-CA"/>
        </w:rPr>
        <w:t xml:space="preserve"> </w:t>
      </w:r>
      <w:r w:rsidR="00801E5D">
        <w:rPr>
          <w:lang w:val="fr-CA"/>
        </w:rPr>
        <w:t>par la</w:t>
      </w:r>
      <w:r w:rsidRPr="00590F7C">
        <w:rPr>
          <w:lang w:val="fr-CA"/>
        </w:rPr>
        <w:t xml:space="preserve"> canne pour les </w:t>
      </w:r>
      <w:r w:rsidR="005D04B8">
        <w:rPr>
          <w:lang w:val="fr-CA"/>
        </w:rPr>
        <w:t>panneaux</w:t>
      </w:r>
      <w:r w:rsidR="00590F7C">
        <w:rPr>
          <w:lang w:val="fr-CA"/>
        </w:rPr>
        <w:t xml:space="preserve"> autoportants</w:t>
      </w:r>
      <w:r w:rsidRPr="00590F7C">
        <w:rPr>
          <w:lang w:val="fr-CA"/>
        </w:rPr>
        <w:t xml:space="preserve"> (voir </w:t>
      </w:r>
      <w:r w:rsidR="002E6751">
        <w:rPr>
          <w:lang w:val="fr-CA"/>
        </w:rPr>
        <w:t>l’article</w:t>
      </w:r>
      <w:r w:rsidRPr="00590F7C">
        <w:rPr>
          <w:lang w:val="fr-CA"/>
        </w:rPr>
        <w:t xml:space="preserve"> </w:t>
      </w:r>
      <w:r w:rsidR="00615856">
        <w:fldChar w:fldCharType="begin"/>
      </w:r>
      <w:r w:rsidR="00615856" w:rsidRPr="007C0FBA">
        <w:rPr>
          <w:lang w:val="fr-CA"/>
        </w:rPr>
        <w:instrText>HYPERLINK \l "_Obstacles_on_paths"</w:instrText>
      </w:r>
      <w:r w:rsidR="00615856">
        <w:fldChar w:fldCharType="separate"/>
      </w:r>
      <w:r w:rsidR="00615856" w:rsidRPr="00590F7C">
        <w:rPr>
          <w:rStyle w:val="Hyperlink"/>
          <w:lang w:val="fr-CA"/>
        </w:rPr>
        <w:t>1</w:t>
      </w:r>
      <w:r w:rsidR="009A2712">
        <w:rPr>
          <w:rStyle w:val="Hyperlink"/>
          <w:lang w:val="fr-CA"/>
        </w:rPr>
        <w:t>1</w:t>
      </w:r>
      <w:r w:rsidR="00615856" w:rsidRPr="00590F7C">
        <w:rPr>
          <w:rStyle w:val="Hyperlink"/>
          <w:lang w:val="fr-CA"/>
        </w:rPr>
        <w:t>.2.1</w:t>
      </w:r>
      <w:r w:rsidR="00615856">
        <w:fldChar w:fldCharType="end"/>
      </w:r>
      <w:r w:rsidRPr="00590F7C">
        <w:rPr>
          <w:lang w:val="fr-CA"/>
        </w:rPr>
        <w:t>);</w:t>
      </w:r>
    </w:p>
    <w:p w14:paraId="5BF67651" w14:textId="2E187C92" w:rsidR="00712AAD" w:rsidRPr="002E6751" w:rsidRDefault="009D3D19" w:rsidP="003F66F0">
      <w:pPr>
        <w:pStyle w:val="ListRef"/>
        <w:numPr>
          <w:ilvl w:val="0"/>
          <w:numId w:val="48"/>
        </w:numPr>
        <w:rPr>
          <w:lang w:val="fr-CA"/>
        </w:rPr>
      </w:pPr>
      <w:proofErr w:type="gramStart"/>
      <w:r w:rsidRPr="00590F7C">
        <w:rPr>
          <w:lang w:val="fr-CA"/>
        </w:rPr>
        <w:t>être</w:t>
      </w:r>
      <w:proofErr w:type="gramEnd"/>
      <w:r w:rsidRPr="00590F7C">
        <w:rPr>
          <w:lang w:val="fr-CA"/>
        </w:rPr>
        <w:t xml:space="preserve"> détectable</w:t>
      </w:r>
      <w:r w:rsidR="00773FF0">
        <w:rPr>
          <w:lang w:val="fr-CA"/>
        </w:rPr>
        <w:t>s</w:t>
      </w:r>
      <w:r w:rsidRPr="00590F7C">
        <w:rPr>
          <w:lang w:val="fr-CA"/>
        </w:rPr>
        <w:t xml:space="preserve"> par la canne pour tout panneau monté sur des poteaux (voir </w:t>
      </w:r>
      <w:r w:rsidR="004A5357">
        <w:rPr>
          <w:lang w:val="fr-CA"/>
        </w:rPr>
        <w:t>l’article</w:t>
      </w:r>
      <w:r w:rsidRPr="00590F7C">
        <w:rPr>
          <w:lang w:val="fr-CA"/>
        </w:rPr>
        <w:t xml:space="preserve"> </w:t>
      </w:r>
      <w:r>
        <w:fldChar w:fldCharType="begin"/>
      </w:r>
      <w:r w:rsidRPr="007C0FBA">
        <w:rPr>
          <w:lang w:val="fr-CA"/>
        </w:rPr>
        <w:instrText>HYPERLINK \l "_Obstacles_on_paths"</w:instrText>
      </w:r>
      <w:r>
        <w:fldChar w:fldCharType="separate"/>
      </w:r>
      <w:r w:rsidRPr="00590F7C">
        <w:rPr>
          <w:rStyle w:val="Hyperlink"/>
          <w:lang w:val="fr-CA"/>
        </w:rPr>
        <w:t>1</w:t>
      </w:r>
      <w:r w:rsidR="009A2712">
        <w:rPr>
          <w:rStyle w:val="Hyperlink"/>
          <w:lang w:val="fr-CA"/>
        </w:rPr>
        <w:t>1</w:t>
      </w:r>
      <w:r w:rsidRPr="00590F7C">
        <w:rPr>
          <w:rStyle w:val="Hyperlink"/>
          <w:lang w:val="fr-CA"/>
        </w:rPr>
        <w:t>.2.1</w:t>
      </w:r>
      <w:r>
        <w:fldChar w:fldCharType="end"/>
      </w:r>
      <w:r w:rsidR="00712AAD" w:rsidRPr="002E6751">
        <w:rPr>
          <w:lang w:val="fr-CA"/>
        </w:rPr>
        <w:t>);</w:t>
      </w:r>
    </w:p>
    <w:p w14:paraId="1925E66F" w14:textId="032DA611" w:rsidR="00712AAD" w:rsidRPr="002E6751" w:rsidRDefault="00712AAD" w:rsidP="003F66F0">
      <w:pPr>
        <w:pStyle w:val="ListRef"/>
        <w:numPr>
          <w:ilvl w:val="0"/>
          <w:numId w:val="48"/>
        </w:numPr>
        <w:rPr>
          <w:lang w:val="fr-CA"/>
        </w:rPr>
      </w:pPr>
      <w:proofErr w:type="gramStart"/>
      <w:r w:rsidRPr="002E6751">
        <w:rPr>
          <w:lang w:val="fr-CA"/>
        </w:rPr>
        <w:t>être</w:t>
      </w:r>
      <w:proofErr w:type="gramEnd"/>
      <w:r w:rsidRPr="002E6751">
        <w:rPr>
          <w:lang w:val="fr-CA"/>
        </w:rPr>
        <w:t xml:space="preserve"> situés à des points clés de décision le long </w:t>
      </w:r>
      <w:r w:rsidR="00063802" w:rsidRPr="002E6751">
        <w:rPr>
          <w:lang w:val="fr-CA"/>
        </w:rPr>
        <w:t>d’une voie</w:t>
      </w:r>
      <w:r w:rsidR="00063802">
        <w:rPr>
          <w:lang w:val="fr-CA"/>
        </w:rPr>
        <w:t xml:space="preserve"> de circulation </w:t>
      </w:r>
      <w:r w:rsidRPr="002E6751">
        <w:rPr>
          <w:lang w:val="fr-CA"/>
        </w:rPr>
        <w:t xml:space="preserve">pour les </w:t>
      </w:r>
      <w:r w:rsidR="00063802">
        <w:rPr>
          <w:lang w:val="fr-CA"/>
        </w:rPr>
        <w:t>panneaux</w:t>
      </w:r>
      <w:r w:rsidRPr="002E6751">
        <w:rPr>
          <w:lang w:val="fr-CA"/>
        </w:rPr>
        <w:t xml:space="preserve"> directionnels;</w:t>
      </w:r>
    </w:p>
    <w:p w14:paraId="5E05DE1B" w14:textId="64CF4498" w:rsidR="00712AAD" w:rsidRPr="002E6751" w:rsidRDefault="00712AAD" w:rsidP="003F66F0">
      <w:pPr>
        <w:pStyle w:val="ListRef"/>
        <w:numPr>
          <w:ilvl w:val="0"/>
          <w:numId w:val="48"/>
        </w:numPr>
        <w:rPr>
          <w:lang w:val="fr-CA"/>
        </w:rPr>
      </w:pPr>
      <w:proofErr w:type="gramStart"/>
      <w:r w:rsidRPr="002E6751">
        <w:rPr>
          <w:lang w:val="fr-CA"/>
        </w:rPr>
        <w:t>suivre</w:t>
      </w:r>
      <w:proofErr w:type="gramEnd"/>
      <w:r w:rsidRPr="002E6751">
        <w:rPr>
          <w:lang w:val="fr-CA"/>
        </w:rPr>
        <w:t xml:space="preserve"> une séquence logique, donnant aux utilisateurs des points de référence vers des destinations pour </w:t>
      </w:r>
      <w:r w:rsidR="00063802">
        <w:rPr>
          <w:lang w:val="fr-CA"/>
        </w:rPr>
        <w:t xml:space="preserve">les panneaux </w:t>
      </w:r>
      <w:r w:rsidRPr="002E6751">
        <w:rPr>
          <w:lang w:val="fr-CA"/>
        </w:rPr>
        <w:t>directionnels; et</w:t>
      </w:r>
    </w:p>
    <w:p w14:paraId="1146BAE0" w14:textId="58BC8C59" w:rsidR="00712AAD" w:rsidRPr="002E6751" w:rsidRDefault="00712AAD" w:rsidP="003F66F0">
      <w:pPr>
        <w:pStyle w:val="ListRef"/>
        <w:numPr>
          <w:ilvl w:val="0"/>
          <w:numId w:val="48"/>
        </w:numPr>
        <w:rPr>
          <w:lang w:val="fr-CA"/>
        </w:rPr>
      </w:pPr>
      <w:proofErr w:type="gramStart"/>
      <w:r w:rsidRPr="002E6751">
        <w:rPr>
          <w:lang w:val="fr-CA"/>
        </w:rPr>
        <w:t>être</w:t>
      </w:r>
      <w:proofErr w:type="gramEnd"/>
      <w:r w:rsidRPr="002E6751">
        <w:rPr>
          <w:lang w:val="fr-CA"/>
        </w:rPr>
        <w:t xml:space="preserve"> placés de façon sécuritaire afin </w:t>
      </w:r>
      <w:r w:rsidR="00A1192A">
        <w:rPr>
          <w:lang w:val="fr-CA"/>
        </w:rPr>
        <w:t>de ne pas présenter de</w:t>
      </w:r>
      <w:r w:rsidRPr="002E6751">
        <w:rPr>
          <w:lang w:val="fr-CA"/>
        </w:rPr>
        <w:t xml:space="preserve"> danger pour la sécurité </w:t>
      </w:r>
      <w:r w:rsidR="00A1192A">
        <w:rPr>
          <w:lang w:val="fr-CA"/>
        </w:rPr>
        <w:t xml:space="preserve">ni </w:t>
      </w:r>
      <w:r w:rsidRPr="002E6751">
        <w:rPr>
          <w:lang w:val="fr-CA"/>
        </w:rPr>
        <w:t>constitu</w:t>
      </w:r>
      <w:r w:rsidR="00764616">
        <w:rPr>
          <w:lang w:val="fr-CA"/>
        </w:rPr>
        <w:t xml:space="preserve">er </w:t>
      </w:r>
      <w:r w:rsidRPr="002E6751">
        <w:rPr>
          <w:lang w:val="fr-CA"/>
        </w:rPr>
        <w:t xml:space="preserve">un obstacle pour les </w:t>
      </w:r>
      <w:r w:rsidR="006F1550">
        <w:rPr>
          <w:lang w:val="fr-CA"/>
        </w:rPr>
        <w:t xml:space="preserve">panneaux </w:t>
      </w:r>
      <w:r w:rsidR="00764616">
        <w:rPr>
          <w:lang w:val="fr-CA"/>
        </w:rPr>
        <w:t>install</w:t>
      </w:r>
      <w:r w:rsidR="00764616">
        <w:rPr>
          <w:rFonts w:cs="Arial"/>
          <w:lang w:val="fr-CA"/>
        </w:rPr>
        <w:t>é</w:t>
      </w:r>
      <w:r w:rsidR="00764616">
        <w:rPr>
          <w:lang w:val="fr-CA"/>
        </w:rPr>
        <w:t xml:space="preserve">s </w:t>
      </w:r>
      <w:r w:rsidRPr="002E6751">
        <w:rPr>
          <w:lang w:val="fr-CA"/>
        </w:rPr>
        <w:t>au sol.</w:t>
      </w:r>
    </w:p>
    <w:p w14:paraId="67AED233" w14:textId="48476E70" w:rsidR="007A01A4" w:rsidRDefault="006F1550" w:rsidP="00712AAD">
      <w:pPr>
        <w:pStyle w:val="ListRef"/>
        <w:ind w:left="1066" w:firstLine="0"/>
        <w:rPr>
          <w:lang w:val="fr-CA"/>
        </w:rPr>
      </w:pPr>
      <w:r>
        <w:rPr>
          <w:rStyle w:val="EmphasisUseSparingly"/>
          <w:lang w:val="fr-CA"/>
        </w:rPr>
        <w:t>Remarque</w:t>
      </w:r>
      <w:r w:rsidR="001C5600">
        <w:rPr>
          <w:rStyle w:val="EmphasisUseSparingly"/>
          <w:lang w:val="fr-CA"/>
        </w:rPr>
        <w:t> </w:t>
      </w:r>
      <w:r w:rsidR="00712AAD" w:rsidRPr="002E6751">
        <w:rPr>
          <w:rStyle w:val="EmphasisUseSparingly"/>
          <w:lang w:val="fr-CA"/>
        </w:rPr>
        <w:t>:</w:t>
      </w:r>
      <w:r w:rsidR="00712AAD" w:rsidRPr="002E6751">
        <w:rPr>
          <w:lang w:val="fr-CA"/>
        </w:rPr>
        <w:t xml:space="preserve"> L</w:t>
      </w:r>
      <w:r w:rsidR="00561899">
        <w:rPr>
          <w:lang w:val="fr-CA"/>
        </w:rPr>
        <w:t>’</w:t>
      </w:r>
      <w:r w:rsidR="00712AAD" w:rsidRPr="002E6751">
        <w:rPr>
          <w:lang w:val="fr-CA"/>
        </w:rPr>
        <w:t xml:space="preserve">emplacement </w:t>
      </w:r>
      <w:r w:rsidRPr="002E6751">
        <w:rPr>
          <w:lang w:val="fr-CA"/>
        </w:rPr>
        <w:t>co</w:t>
      </w:r>
      <w:r>
        <w:rPr>
          <w:lang w:val="fr-CA"/>
        </w:rPr>
        <w:t>hérent</w:t>
      </w:r>
      <w:r w:rsidR="00A6188B">
        <w:rPr>
          <w:lang w:val="fr-CA"/>
        </w:rPr>
        <w:t xml:space="preserve"> </w:t>
      </w:r>
      <w:r w:rsidR="00712AAD" w:rsidRPr="002E6751">
        <w:rPr>
          <w:lang w:val="fr-CA"/>
        </w:rPr>
        <w:t>de la signalisation dans les environnements extérieurs permet à une personne d</w:t>
      </w:r>
      <w:r w:rsidR="00561899">
        <w:rPr>
          <w:lang w:val="fr-CA"/>
        </w:rPr>
        <w:t>’</w:t>
      </w:r>
      <w:r w:rsidR="00712AAD" w:rsidRPr="002E6751">
        <w:rPr>
          <w:lang w:val="fr-CA"/>
        </w:rPr>
        <w:t xml:space="preserve">anticiper où et quand </w:t>
      </w:r>
      <w:r w:rsidR="006861AB">
        <w:rPr>
          <w:lang w:val="fr-CA"/>
        </w:rPr>
        <w:t xml:space="preserve">elle trouvera </w:t>
      </w:r>
      <w:r w:rsidR="00712AAD" w:rsidRPr="002E6751">
        <w:rPr>
          <w:lang w:val="fr-CA"/>
        </w:rPr>
        <w:t>la signalisation. Si le respect de ces exigences n</w:t>
      </w:r>
      <w:r w:rsidR="00561899">
        <w:rPr>
          <w:lang w:val="fr-CA"/>
        </w:rPr>
        <w:t>’</w:t>
      </w:r>
      <w:r w:rsidR="00712AAD" w:rsidRPr="002E6751">
        <w:rPr>
          <w:lang w:val="fr-CA"/>
        </w:rPr>
        <w:t xml:space="preserve">est pas réalisable </w:t>
      </w:r>
      <w:r w:rsidR="006030EA">
        <w:rPr>
          <w:lang w:val="fr-CA"/>
        </w:rPr>
        <w:t xml:space="preserve">dans un environnement </w:t>
      </w:r>
      <w:r w:rsidR="00712AAD" w:rsidRPr="002E6751">
        <w:rPr>
          <w:lang w:val="fr-CA"/>
        </w:rPr>
        <w:t>extérieur, un système d</w:t>
      </w:r>
      <w:r w:rsidR="00561899">
        <w:rPr>
          <w:lang w:val="fr-CA"/>
        </w:rPr>
        <w:t>’</w:t>
      </w:r>
      <w:r w:rsidR="00712AAD" w:rsidRPr="002E6751">
        <w:rPr>
          <w:lang w:val="fr-CA"/>
        </w:rPr>
        <w:t>information tactile cohérent (p</w:t>
      </w:r>
      <w:r w:rsidR="006030EA">
        <w:rPr>
          <w:lang w:val="fr-CA"/>
        </w:rPr>
        <w:t>.</w:t>
      </w:r>
      <w:r w:rsidR="006A7DB9">
        <w:rPr>
          <w:lang w:val="fr-CA"/>
        </w:rPr>
        <w:t xml:space="preserve"> </w:t>
      </w:r>
      <w:r w:rsidR="006030EA">
        <w:rPr>
          <w:lang w:val="fr-CA"/>
        </w:rPr>
        <w:t>ex.</w:t>
      </w:r>
      <w:r w:rsidR="00712AAD" w:rsidRPr="002E6751">
        <w:rPr>
          <w:lang w:val="fr-CA"/>
        </w:rPr>
        <w:t xml:space="preserve"> un changement de texture de surface) pourrait être mis en place pour identifier les emplacements de signalisation. P</w:t>
      </w:r>
      <w:r w:rsidR="00293A2B">
        <w:rPr>
          <w:lang w:val="fr-CA"/>
        </w:rPr>
        <w:t>ar exemple</w:t>
      </w:r>
      <w:r w:rsidR="00712AAD" w:rsidRPr="002E6751">
        <w:rPr>
          <w:lang w:val="fr-CA"/>
        </w:rPr>
        <w:t>,</w:t>
      </w:r>
      <w:r w:rsidR="00BA5BCF">
        <w:rPr>
          <w:lang w:val="fr-CA"/>
        </w:rPr>
        <w:t xml:space="preserve"> pour les</w:t>
      </w:r>
      <w:r w:rsidR="00712AAD" w:rsidRPr="002E6751">
        <w:rPr>
          <w:lang w:val="fr-CA"/>
        </w:rPr>
        <w:t xml:space="preserve"> intersections de sentiers, la signalisation peut être placée en avant de l</w:t>
      </w:r>
      <w:r w:rsidR="00561899">
        <w:rPr>
          <w:lang w:val="fr-CA"/>
        </w:rPr>
        <w:t>’</w:t>
      </w:r>
      <w:r w:rsidR="00712AAD" w:rsidRPr="002E6751">
        <w:rPr>
          <w:lang w:val="fr-CA"/>
        </w:rPr>
        <w:t>intersection, située à droite à une hauteur fixe au-dessus du sol.</w:t>
      </w:r>
    </w:p>
    <w:p w14:paraId="77649ED1" w14:textId="77777777" w:rsidR="007A01A4" w:rsidRDefault="007A01A4">
      <w:pPr>
        <w:keepLines w:val="0"/>
        <w:spacing w:before="0" w:beforeAutospacing="0" w:line="259" w:lineRule="auto"/>
        <w:rPr>
          <w:lang w:val="fr-CA"/>
        </w:rPr>
      </w:pPr>
      <w:r>
        <w:rPr>
          <w:lang w:val="fr-CA"/>
        </w:rPr>
        <w:br w:type="page"/>
      </w:r>
    </w:p>
    <w:p w14:paraId="31D94309" w14:textId="08701DB6" w:rsidR="00712AAD" w:rsidRDefault="000F4572" w:rsidP="000F4572">
      <w:pPr>
        <w:pStyle w:val="Heading3"/>
      </w:pPr>
      <w:bookmarkStart w:id="638" w:name="_Toc219706227"/>
      <w:proofErr w:type="spellStart"/>
      <w:r>
        <w:lastRenderedPageBreak/>
        <w:t>Panneaux</w:t>
      </w:r>
      <w:proofErr w:type="spellEnd"/>
      <w:r>
        <w:t xml:space="preserve"> </w:t>
      </w:r>
      <w:proofErr w:type="spellStart"/>
      <w:r w:rsidR="006B69E6">
        <w:t>suspendus</w:t>
      </w:r>
      <w:bookmarkEnd w:id="638"/>
      <w:proofErr w:type="spellEnd"/>
    </w:p>
    <w:p w14:paraId="4C26FD67" w14:textId="22205FF0" w:rsidR="000F4572" w:rsidRPr="00E53A2C" w:rsidRDefault="000F4572" w:rsidP="000F4572">
      <w:pPr>
        <w:rPr>
          <w:lang w:val="fr-CA"/>
        </w:rPr>
      </w:pPr>
      <w:r w:rsidRPr="00E53A2C">
        <w:rPr>
          <w:lang w:val="fr-CA"/>
        </w:rPr>
        <w:t xml:space="preserve">Les panneaux </w:t>
      </w:r>
      <w:r w:rsidR="00E53A2C">
        <w:rPr>
          <w:lang w:val="fr-CA"/>
        </w:rPr>
        <w:t>suspendus</w:t>
      </w:r>
      <w:r w:rsidRPr="00E53A2C">
        <w:rPr>
          <w:lang w:val="fr-CA"/>
        </w:rPr>
        <w:t xml:space="preserve"> doivent</w:t>
      </w:r>
      <w:r w:rsidR="001C5600">
        <w:rPr>
          <w:lang w:val="fr-CA"/>
        </w:rPr>
        <w:t> </w:t>
      </w:r>
      <w:r w:rsidRPr="00E53A2C">
        <w:rPr>
          <w:lang w:val="fr-CA"/>
        </w:rPr>
        <w:t>:</w:t>
      </w:r>
    </w:p>
    <w:p w14:paraId="0ED427EC" w14:textId="7DEF8A3F" w:rsidR="000F4572" w:rsidRPr="00E53A2C" w:rsidRDefault="000F4572" w:rsidP="003F66F0">
      <w:pPr>
        <w:pStyle w:val="ListRef"/>
        <w:numPr>
          <w:ilvl w:val="0"/>
          <w:numId w:val="49"/>
        </w:numPr>
        <w:rPr>
          <w:lang w:val="fr-CA"/>
        </w:rPr>
      </w:pPr>
      <w:proofErr w:type="gramStart"/>
      <w:r w:rsidRPr="00E53A2C">
        <w:rPr>
          <w:lang w:val="fr-CA"/>
        </w:rPr>
        <w:t>être</w:t>
      </w:r>
      <w:proofErr w:type="gramEnd"/>
      <w:r w:rsidRPr="00E53A2C">
        <w:rPr>
          <w:lang w:val="fr-CA"/>
        </w:rPr>
        <w:t xml:space="preserve"> installé</w:t>
      </w:r>
      <w:r w:rsidR="008808CE">
        <w:rPr>
          <w:lang w:val="fr-CA"/>
        </w:rPr>
        <w:t>s</w:t>
      </w:r>
      <w:r w:rsidRPr="00E53A2C">
        <w:rPr>
          <w:lang w:val="fr-CA"/>
        </w:rPr>
        <w:t xml:space="preserve"> avec un dégagement minimum de 2 050</w:t>
      </w:r>
      <w:r w:rsidR="003B2C52">
        <w:rPr>
          <w:lang w:val="fr-CA"/>
        </w:rPr>
        <w:t> </w:t>
      </w:r>
      <w:r w:rsidRPr="00E53A2C">
        <w:rPr>
          <w:lang w:val="fr-CA"/>
        </w:rPr>
        <w:t>mm par rapport au plancher fini pour les panneaux à lames ou suspendus;</w:t>
      </w:r>
    </w:p>
    <w:p w14:paraId="7C0C317E" w14:textId="7C040620" w:rsidR="000F4572" w:rsidRPr="00E53A2C" w:rsidRDefault="000F4572" w:rsidP="003F66F0">
      <w:pPr>
        <w:pStyle w:val="ListRef"/>
        <w:numPr>
          <w:ilvl w:val="0"/>
          <w:numId w:val="49"/>
        </w:numPr>
        <w:rPr>
          <w:lang w:val="fr-CA"/>
        </w:rPr>
      </w:pPr>
      <w:proofErr w:type="gramStart"/>
      <w:r w:rsidRPr="00E53A2C">
        <w:rPr>
          <w:lang w:val="fr-CA"/>
        </w:rPr>
        <w:t>ne</w:t>
      </w:r>
      <w:proofErr w:type="gramEnd"/>
      <w:r w:rsidRPr="00E53A2C">
        <w:rPr>
          <w:lang w:val="fr-CA"/>
        </w:rPr>
        <w:t xml:space="preserve"> pas être exigé</w:t>
      </w:r>
      <w:r w:rsidR="00B42016">
        <w:rPr>
          <w:lang w:val="fr-CA"/>
        </w:rPr>
        <w:t>s</w:t>
      </w:r>
      <w:r w:rsidRPr="00E53A2C">
        <w:rPr>
          <w:lang w:val="fr-CA"/>
        </w:rPr>
        <w:t xml:space="preserve"> d</w:t>
      </w:r>
      <w:r w:rsidR="00561899">
        <w:rPr>
          <w:lang w:val="fr-CA"/>
        </w:rPr>
        <w:t>’</w:t>
      </w:r>
      <w:r w:rsidRPr="00E53A2C">
        <w:rPr>
          <w:lang w:val="fr-CA"/>
        </w:rPr>
        <w:t xml:space="preserve">avoir des caractéristiques tactiles si elles sont installées hors de portée physique (par exemple, montées au plafond). Cependant, un panneau distinct contenant le message en relief et en braille doit être installé dans la zone tactile accessible </w:t>
      </w:r>
      <w:r w:rsidR="00E0529B">
        <w:rPr>
          <w:lang w:val="fr-CA"/>
        </w:rPr>
        <w:t>conforme à</w:t>
      </w:r>
      <w:r w:rsidRPr="00E53A2C">
        <w:rPr>
          <w:lang w:val="fr-CA"/>
        </w:rPr>
        <w:t xml:space="preserve"> </w:t>
      </w:r>
      <w:r w:rsidR="00E45634">
        <w:fldChar w:fldCharType="begin"/>
      </w:r>
      <w:r w:rsidR="00E45634" w:rsidRPr="007C0FBA">
        <w:rPr>
          <w:lang w:val="fr-CA"/>
        </w:rPr>
        <w:instrText>HYPERLINK \l "_Tactile_signs_at_1"</w:instrText>
      </w:r>
      <w:r w:rsidR="00E45634">
        <w:fldChar w:fldCharType="separate"/>
      </w:r>
      <w:r w:rsidR="00E45634" w:rsidRPr="00E53A2C">
        <w:rPr>
          <w:rStyle w:val="Hyperlink"/>
          <w:lang w:val="fr-CA"/>
        </w:rPr>
        <w:t>1</w:t>
      </w:r>
      <w:r w:rsidR="00E0529B">
        <w:rPr>
          <w:rStyle w:val="Hyperlink"/>
          <w:lang w:val="fr-CA"/>
        </w:rPr>
        <w:t>2</w:t>
      </w:r>
      <w:r w:rsidR="00E45634" w:rsidRPr="00E53A2C">
        <w:rPr>
          <w:rStyle w:val="Hyperlink"/>
          <w:lang w:val="fr-CA"/>
        </w:rPr>
        <w:t>.7.2</w:t>
      </w:r>
      <w:r w:rsidR="00E45634">
        <w:fldChar w:fldCharType="end"/>
      </w:r>
      <w:r w:rsidRPr="00E53A2C">
        <w:rPr>
          <w:lang w:val="fr-CA"/>
        </w:rPr>
        <w:t xml:space="preserve"> et </w:t>
      </w:r>
      <w:r w:rsidR="00E45634">
        <w:fldChar w:fldCharType="begin"/>
      </w:r>
      <w:r w:rsidR="00E45634" w:rsidRPr="007C0FBA">
        <w:rPr>
          <w:lang w:val="fr-CA"/>
        </w:rPr>
        <w:instrText>HYPERLINK \l "_Tactile_signs_at"</w:instrText>
      </w:r>
      <w:r w:rsidR="00E45634">
        <w:fldChar w:fldCharType="separate"/>
      </w:r>
      <w:r w:rsidR="00E45634" w:rsidRPr="00E53A2C">
        <w:rPr>
          <w:rStyle w:val="Hyperlink"/>
          <w:lang w:val="fr-CA"/>
        </w:rPr>
        <w:t>1</w:t>
      </w:r>
      <w:r w:rsidR="00E0529B">
        <w:rPr>
          <w:rStyle w:val="Hyperlink"/>
          <w:lang w:val="fr-CA"/>
        </w:rPr>
        <w:t>2</w:t>
      </w:r>
      <w:r w:rsidR="00E45634" w:rsidRPr="00E53A2C">
        <w:rPr>
          <w:rStyle w:val="Hyperlink"/>
          <w:lang w:val="fr-CA"/>
        </w:rPr>
        <w:t>.7.3</w:t>
      </w:r>
      <w:r w:rsidR="00E45634">
        <w:fldChar w:fldCharType="end"/>
      </w:r>
      <w:r w:rsidRPr="00E53A2C">
        <w:rPr>
          <w:lang w:val="fr-CA"/>
        </w:rPr>
        <w:t>;</w:t>
      </w:r>
    </w:p>
    <w:p w14:paraId="7AD3A7C8" w14:textId="277745D5" w:rsidR="000F4572" w:rsidRPr="00E53A2C" w:rsidRDefault="000F4572" w:rsidP="003F66F0">
      <w:pPr>
        <w:pStyle w:val="ListRef"/>
        <w:numPr>
          <w:ilvl w:val="0"/>
          <w:numId w:val="49"/>
        </w:numPr>
        <w:rPr>
          <w:lang w:val="fr-CA"/>
        </w:rPr>
      </w:pPr>
      <w:proofErr w:type="gramStart"/>
      <w:r w:rsidRPr="00E53A2C">
        <w:rPr>
          <w:lang w:val="fr-CA"/>
        </w:rPr>
        <w:t>être</w:t>
      </w:r>
      <w:proofErr w:type="gramEnd"/>
      <w:r w:rsidRPr="00E53A2C">
        <w:rPr>
          <w:lang w:val="fr-CA"/>
        </w:rPr>
        <w:t xml:space="preserve"> installé</w:t>
      </w:r>
      <w:r w:rsidR="008808CE">
        <w:rPr>
          <w:lang w:val="fr-CA"/>
        </w:rPr>
        <w:t>s</w:t>
      </w:r>
      <w:r w:rsidRPr="00E53A2C">
        <w:rPr>
          <w:lang w:val="fr-CA"/>
        </w:rPr>
        <w:t xml:space="preserve"> à des emplacements </w:t>
      </w:r>
      <w:r w:rsidR="00B42016" w:rsidRPr="00E53A2C">
        <w:rPr>
          <w:lang w:val="fr-CA"/>
        </w:rPr>
        <w:t>co</w:t>
      </w:r>
      <w:r w:rsidR="00B42016">
        <w:rPr>
          <w:lang w:val="fr-CA"/>
        </w:rPr>
        <w:t xml:space="preserve">hérents </w:t>
      </w:r>
      <w:r w:rsidRPr="00E53A2C">
        <w:rPr>
          <w:lang w:val="fr-CA"/>
        </w:rPr>
        <w:t xml:space="preserve">dans tout le bâtiment et </w:t>
      </w:r>
      <w:r w:rsidR="00B42016">
        <w:rPr>
          <w:lang w:val="fr-CA"/>
        </w:rPr>
        <w:t xml:space="preserve">être </w:t>
      </w:r>
      <w:r w:rsidRPr="00E53A2C">
        <w:rPr>
          <w:lang w:val="fr-CA"/>
        </w:rPr>
        <w:t>visible</w:t>
      </w:r>
      <w:r w:rsidR="00B42016">
        <w:rPr>
          <w:lang w:val="fr-CA"/>
        </w:rPr>
        <w:t>s</w:t>
      </w:r>
      <w:r w:rsidRPr="00E53A2C">
        <w:rPr>
          <w:lang w:val="fr-CA"/>
        </w:rPr>
        <w:t xml:space="preserve"> à une distance confortable; et</w:t>
      </w:r>
    </w:p>
    <w:p w14:paraId="24D88AFC" w14:textId="36ED3B4A" w:rsidR="000F4572" w:rsidRPr="00E53A2C" w:rsidRDefault="00775344" w:rsidP="003F66F0">
      <w:pPr>
        <w:pStyle w:val="ListRef"/>
        <w:numPr>
          <w:ilvl w:val="0"/>
          <w:numId w:val="49"/>
        </w:numPr>
        <w:rPr>
          <w:lang w:val="fr-CA"/>
        </w:rPr>
      </w:pPr>
      <w:proofErr w:type="gramStart"/>
      <w:r>
        <w:rPr>
          <w:lang w:val="fr-CA"/>
        </w:rPr>
        <w:t>être</w:t>
      </w:r>
      <w:proofErr w:type="gramEnd"/>
      <w:r w:rsidR="000F4572" w:rsidRPr="00E53A2C">
        <w:rPr>
          <w:lang w:val="fr-CA"/>
        </w:rPr>
        <w:t xml:space="preserve"> visible</w:t>
      </w:r>
      <w:r w:rsidR="00B04053">
        <w:rPr>
          <w:lang w:val="fr-CA"/>
        </w:rPr>
        <w:t>s</w:t>
      </w:r>
      <w:r w:rsidR="000F4572" w:rsidRPr="00E53A2C">
        <w:rPr>
          <w:lang w:val="fr-CA"/>
        </w:rPr>
        <w:t xml:space="preserve"> et </w:t>
      </w:r>
      <w:r w:rsidR="00856AFB">
        <w:rPr>
          <w:lang w:val="fr-CA"/>
        </w:rPr>
        <w:t>exempts</w:t>
      </w:r>
      <w:r w:rsidR="000F4572" w:rsidRPr="00E53A2C">
        <w:rPr>
          <w:lang w:val="fr-CA"/>
        </w:rPr>
        <w:t xml:space="preserve"> d</w:t>
      </w:r>
      <w:r w:rsidR="00561899">
        <w:rPr>
          <w:lang w:val="fr-CA"/>
        </w:rPr>
        <w:t>’</w:t>
      </w:r>
      <w:r w:rsidR="000F4572" w:rsidRPr="00E53A2C">
        <w:rPr>
          <w:lang w:val="fr-CA"/>
        </w:rPr>
        <w:t>obst</w:t>
      </w:r>
      <w:r w:rsidR="00856AFB">
        <w:rPr>
          <w:lang w:val="fr-CA"/>
        </w:rPr>
        <w:t>acles</w:t>
      </w:r>
      <w:r w:rsidR="000F4572" w:rsidRPr="00E53A2C">
        <w:rPr>
          <w:lang w:val="fr-CA"/>
        </w:rPr>
        <w:t xml:space="preserve"> pour l</w:t>
      </w:r>
      <w:r w:rsidR="00C25D15">
        <w:rPr>
          <w:lang w:val="fr-CA"/>
        </w:rPr>
        <w:t>es panneaux suspendus ou à</w:t>
      </w:r>
      <w:r w:rsidR="000F4572" w:rsidRPr="00E53A2C">
        <w:rPr>
          <w:lang w:val="fr-CA"/>
        </w:rPr>
        <w:t xml:space="preserve"> lame.</w:t>
      </w:r>
    </w:p>
    <w:p w14:paraId="04870DBF" w14:textId="4B9CF664" w:rsidR="000F4572" w:rsidRPr="00E53A2C" w:rsidRDefault="009B5839" w:rsidP="000F4572">
      <w:pPr>
        <w:rPr>
          <w:lang w:val="fr-CA"/>
        </w:rPr>
      </w:pPr>
      <w:r>
        <w:rPr>
          <w:rStyle w:val="EmphasisUseSparingly"/>
          <w:lang w:val="fr-CA"/>
        </w:rPr>
        <w:t>Remarque</w:t>
      </w:r>
      <w:r w:rsidR="001C5600">
        <w:rPr>
          <w:rStyle w:val="EmphasisUseSparingly"/>
          <w:lang w:val="fr-CA"/>
        </w:rPr>
        <w:t> </w:t>
      </w:r>
      <w:r w:rsidR="000F4572" w:rsidRPr="00E53A2C">
        <w:rPr>
          <w:rStyle w:val="EmphasisUseSparingly"/>
          <w:lang w:val="fr-CA"/>
        </w:rPr>
        <w:t xml:space="preserve">: </w:t>
      </w:r>
      <w:r w:rsidR="000F4572" w:rsidRPr="00E53A2C">
        <w:rPr>
          <w:lang w:val="fr-CA"/>
        </w:rPr>
        <w:t xml:space="preserve">Dans </w:t>
      </w:r>
      <w:r w:rsidR="00A04F25" w:rsidRPr="00E53A2C">
        <w:rPr>
          <w:lang w:val="fr-CA"/>
        </w:rPr>
        <w:t xml:space="preserve">les endroits </w:t>
      </w:r>
      <w:r w:rsidR="00A04F25">
        <w:rPr>
          <w:lang w:val="fr-CA"/>
        </w:rPr>
        <w:t>fr</w:t>
      </w:r>
      <w:r w:rsidR="00A04F25" w:rsidRPr="00E53A2C">
        <w:rPr>
          <w:lang w:val="fr-CA"/>
        </w:rPr>
        <w:t>é</w:t>
      </w:r>
      <w:r w:rsidR="00A04F25">
        <w:rPr>
          <w:lang w:val="fr-CA"/>
        </w:rPr>
        <w:t>quentés</w:t>
      </w:r>
      <w:r w:rsidR="000F4572" w:rsidRPr="00E53A2C">
        <w:rPr>
          <w:lang w:val="fr-CA"/>
        </w:rPr>
        <w:t xml:space="preserve">, il </w:t>
      </w:r>
      <w:r w:rsidR="00F50F65">
        <w:rPr>
          <w:lang w:val="fr-CA"/>
        </w:rPr>
        <w:t>convient d’envisager l’utilisation de</w:t>
      </w:r>
      <w:r w:rsidR="000F4572" w:rsidRPr="00E53A2C">
        <w:rPr>
          <w:lang w:val="fr-CA"/>
        </w:rPr>
        <w:t xml:space="preserve"> panneaux </w:t>
      </w:r>
      <w:r w:rsidR="00F50F65">
        <w:rPr>
          <w:lang w:val="fr-CA"/>
        </w:rPr>
        <w:t>suspendus ou à</w:t>
      </w:r>
      <w:r w:rsidR="000F4572" w:rsidRPr="00E53A2C">
        <w:rPr>
          <w:lang w:val="fr-CA"/>
        </w:rPr>
        <w:t xml:space="preserve"> lame </w:t>
      </w:r>
      <w:r w:rsidR="00F50F65">
        <w:rPr>
          <w:lang w:val="fr-CA"/>
        </w:rPr>
        <w:t xml:space="preserve">afin de </w:t>
      </w:r>
      <w:r w:rsidR="000F4572" w:rsidRPr="00E53A2C">
        <w:rPr>
          <w:lang w:val="fr-CA"/>
        </w:rPr>
        <w:t>s</w:t>
      </w:r>
      <w:r w:rsidR="00561899">
        <w:rPr>
          <w:lang w:val="fr-CA"/>
        </w:rPr>
        <w:t>’</w:t>
      </w:r>
      <w:r w:rsidR="000F4572" w:rsidRPr="00E53A2C">
        <w:rPr>
          <w:lang w:val="fr-CA"/>
        </w:rPr>
        <w:t>assurer</w:t>
      </w:r>
      <w:r w:rsidR="00F50F65">
        <w:rPr>
          <w:lang w:val="fr-CA"/>
        </w:rPr>
        <w:t xml:space="preserve"> la visibilité du</w:t>
      </w:r>
      <w:r w:rsidR="000F4572" w:rsidRPr="00E53A2C">
        <w:rPr>
          <w:lang w:val="fr-CA"/>
        </w:rPr>
        <w:t xml:space="preserve"> message à distance.</w:t>
      </w:r>
    </w:p>
    <w:p w14:paraId="114849E8" w14:textId="04A70358" w:rsidR="000F4572" w:rsidRDefault="00803664" w:rsidP="00803664">
      <w:pPr>
        <w:pStyle w:val="Heading3"/>
      </w:pPr>
      <w:bookmarkStart w:id="639" w:name="_Toc219706228"/>
      <w:r>
        <w:t>Escaliers</w:t>
      </w:r>
      <w:bookmarkEnd w:id="639"/>
    </w:p>
    <w:p w14:paraId="71AFCC69" w14:textId="1E52D65F" w:rsidR="00803664" w:rsidRPr="002313DA" w:rsidRDefault="00EE3773" w:rsidP="00803664">
      <w:pPr>
        <w:pStyle w:val="ListRef"/>
        <w:ind w:left="0" w:firstLine="0"/>
        <w:rPr>
          <w:lang w:val="fr-CA"/>
        </w:rPr>
      </w:pPr>
      <w:r w:rsidRPr="00EE3773">
        <w:rPr>
          <w:rStyle w:val="EmphasisUseSparingly"/>
          <w:lang w:val="fr-CA"/>
        </w:rPr>
        <w:t>Re</w:t>
      </w:r>
      <w:r>
        <w:rPr>
          <w:rStyle w:val="EmphasisUseSparingly"/>
          <w:lang w:val="fr-CA"/>
        </w:rPr>
        <w:t>marque</w:t>
      </w:r>
      <w:r w:rsidR="00803664" w:rsidRPr="002313DA">
        <w:rPr>
          <w:rStyle w:val="EmphasisUseSparingly"/>
          <w:lang w:val="fr-CA"/>
        </w:rPr>
        <w:t xml:space="preserve"> 1</w:t>
      </w:r>
      <w:r w:rsidR="001C5600">
        <w:rPr>
          <w:rStyle w:val="EmphasisUseSparingly"/>
          <w:lang w:val="fr-CA"/>
        </w:rPr>
        <w:t> </w:t>
      </w:r>
      <w:r w:rsidR="00803664" w:rsidRPr="002313DA">
        <w:rPr>
          <w:rStyle w:val="EmphasisUseSparingly"/>
          <w:lang w:val="fr-CA"/>
        </w:rPr>
        <w:t xml:space="preserve">: </w:t>
      </w:r>
      <w:r w:rsidR="00803664" w:rsidRPr="002313DA">
        <w:rPr>
          <w:lang w:val="fr-CA"/>
        </w:rPr>
        <w:t>Des panneaux d</w:t>
      </w:r>
      <w:r w:rsidR="00561899">
        <w:rPr>
          <w:lang w:val="fr-CA"/>
        </w:rPr>
        <w:t>’</w:t>
      </w:r>
      <w:r w:rsidR="00803664" w:rsidRPr="002313DA">
        <w:rPr>
          <w:lang w:val="fr-CA"/>
        </w:rPr>
        <w:t>information d</w:t>
      </w:r>
      <w:r>
        <w:rPr>
          <w:lang w:val="fr-CA"/>
        </w:rPr>
        <w:t>evraie</w:t>
      </w:r>
      <w:r w:rsidR="00803664" w:rsidRPr="002313DA">
        <w:rPr>
          <w:lang w:val="fr-CA"/>
        </w:rPr>
        <w:t>nt être placés dans les cages d</w:t>
      </w:r>
      <w:r w:rsidR="00561899">
        <w:rPr>
          <w:lang w:val="fr-CA"/>
        </w:rPr>
        <w:t>’</w:t>
      </w:r>
      <w:r w:rsidR="00803664" w:rsidRPr="002313DA">
        <w:rPr>
          <w:lang w:val="fr-CA"/>
        </w:rPr>
        <w:t>escalier pour identifier tous les points d</w:t>
      </w:r>
      <w:r w:rsidR="00561899">
        <w:rPr>
          <w:lang w:val="fr-CA"/>
        </w:rPr>
        <w:t>’</w:t>
      </w:r>
      <w:r w:rsidR="00803664" w:rsidRPr="002313DA">
        <w:rPr>
          <w:lang w:val="fr-CA"/>
        </w:rPr>
        <w:t>entrée et de sortie.</w:t>
      </w:r>
    </w:p>
    <w:p w14:paraId="0041D38E" w14:textId="1BD91E15" w:rsidR="00803664" w:rsidRPr="002313DA" w:rsidRDefault="00EE3773" w:rsidP="00803664">
      <w:pPr>
        <w:pStyle w:val="ListRef"/>
        <w:ind w:left="0" w:firstLine="0"/>
        <w:rPr>
          <w:lang w:val="fr-CA"/>
        </w:rPr>
      </w:pPr>
      <w:r>
        <w:rPr>
          <w:rStyle w:val="EmphasisUseSparingly"/>
          <w:lang w:val="fr-CA"/>
        </w:rPr>
        <w:t>Remarque</w:t>
      </w:r>
      <w:r w:rsidR="00803664" w:rsidRPr="002313DA">
        <w:rPr>
          <w:rStyle w:val="EmphasisUseSparingly"/>
          <w:lang w:val="fr-CA"/>
        </w:rPr>
        <w:t xml:space="preserve"> 2</w:t>
      </w:r>
      <w:r w:rsidR="001C5600">
        <w:rPr>
          <w:rStyle w:val="EmphasisUseSparingly"/>
          <w:lang w:val="fr-CA"/>
        </w:rPr>
        <w:t> </w:t>
      </w:r>
      <w:r w:rsidR="00803664" w:rsidRPr="002313DA">
        <w:rPr>
          <w:rStyle w:val="EmphasisUseSparingly"/>
          <w:lang w:val="fr-CA"/>
        </w:rPr>
        <w:t xml:space="preserve">: </w:t>
      </w:r>
      <w:r w:rsidR="00803664" w:rsidRPr="002313DA">
        <w:rPr>
          <w:lang w:val="fr-CA"/>
        </w:rPr>
        <w:t>Les numéros d</w:t>
      </w:r>
      <w:r w:rsidR="00561899">
        <w:rPr>
          <w:lang w:val="fr-CA"/>
        </w:rPr>
        <w:t>’</w:t>
      </w:r>
      <w:r w:rsidR="00803664" w:rsidRPr="002313DA">
        <w:rPr>
          <w:lang w:val="fr-CA"/>
        </w:rPr>
        <w:t xml:space="preserve">étage doivent être affichés à chaque niveau, en haut et en bas des escaliers, ainsi que sur les </w:t>
      </w:r>
      <w:r w:rsidR="002313DA">
        <w:rPr>
          <w:lang w:val="fr-CA"/>
        </w:rPr>
        <w:t>mains courantes</w:t>
      </w:r>
      <w:r w:rsidR="00803664" w:rsidRPr="002313DA">
        <w:rPr>
          <w:lang w:val="fr-CA"/>
        </w:rPr>
        <w:t>.</w:t>
      </w:r>
    </w:p>
    <w:p w14:paraId="7CC376C1" w14:textId="6EAB2A23" w:rsidR="00803664" w:rsidRDefault="00477189" w:rsidP="00164215">
      <w:pPr>
        <w:pStyle w:val="Heading2"/>
      </w:pPr>
      <w:bookmarkStart w:id="640" w:name="_Tactile_signs"/>
      <w:bookmarkStart w:id="641" w:name="_Toc219706229"/>
      <w:bookmarkEnd w:id="640"/>
      <w:proofErr w:type="spellStart"/>
      <w:r>
        <w:lastRenderedPageBreak/>
        <w:t>Panneaux</w:t>
      </w:r>
      <w:proofErr w:type="spellEnd"/>
      <w:r w:rsidR="00164215">
        <w:t xml:space="preserve"> tactiles</w:t>
      </w:r>
      <w:bookmarkEnd w:id="641"/>
    </w:p>
    <w:p w14:paraId="67C25045" w14:textId="7D303677" w:rsidR="00164215" w:rsidRPr="002313DA" w:rsidRDefault="00164215" w:rsidP="00164215">
      <w:pPr>
        <w:rPr>
          <w:lang w:val="fr-CA"/>
        </w:rPr>
      </w:pPr>
      <w:r w:rsidRPr="002313DA">
        <w:rPr>
          <w:lang w:val="fr-CA"/>
        </w:rPr>
        <w:t>Les panneaux tactiles sont des panneaux installés à portée fonctionnelle (portée latérale et frontale), qui fournissent toute l</w:t>
      </w:r>
      <w:r w:rsidR="00561899">
        <w:rPr>
          <w:lang w:val="fr-CA"/>
        </w:rPr>
        <w:t>’</w:t>
      </w:r>
      <w:r w:rsidRPr="002313DA">
        <w:rPr>
          <w:lang w:val="fr-CA"/>
        </w:rPr>
        <w:t xml:space="preserve">information sous forme visuelle et tactile. Ces éléments tactiles incluent les lettres en relief et le braille, et peuvent aussi inclure des symboles ou pictogrammes spécifiques. Les </w:t>
      </w:r>
      <w:r w:rsidR="00477189">
        <w:rPr>
          <w:lang w:val="fr-CA"/>
        </w:rPr>
        <w:t>panneaux</w:t>
      </w:r>
      <w:r w:rsidRPr="002313DA">
        <w:rPr>
          <w:lang w:val="fr-CA"/>
        </w:rPr>
        <w:t xml:space="preserve"> tactiles sont doux au toucher et peuvent être suivis du doigt par les utilisateurs.</w:t>
      </w:r>
    </w:p>
    <w:p w14:paraId="00F23AB1" w14:textId="27D9D933" w:rsidR="00164215" w:rsidRPr="000A700E" w:rsidRDefault="00E766C0" w:rsidP="000B0326">
      <w:pPr>
        <w:pStyle w:val="Heading3"/>
        <w:rPr>
          <w:lang w:val="fr-CA"/>
        </w:rPr>
      </w:pPr>
      <w:bookmarkStart w:id="642" w:name="_Tactile_sign_design"/>
      <w:bookmarkStart w:id="643" w:name="_Conception_et_construction"/>
      <w:bookmarkStart w:id="644" w:name="_Toc219706230"/>
      <w:bookmarkEnd w:id="642"/>
      <w:bookmarkEnd w:id="643"/>
      <w:r w:rsidRPr="000A700E">
        <w:rPr>
          <w:lang w:val="fr-CA"/>
        </w:rPr>
        <w:t>Conception et construction d</w:t>
      </w:r>
      <w:r w:rsidR="00B75988">
        <w:rPr>
          <w:lang w:val="fr-CA"/>
        </w:rPr>
        <w:t>’éléments de</w:t>
      </w:r>
      <w:r w:rsidR="000A700E" w:rsidRPr="000A700E">
        <w:rPr>
          <w:lang w:val="fr-CA"/>
        </w:rPr>
        <w:t xml:space="preserve"> panneaux </w:t>
      </w:r>
      <w:r w:rsidRPr="000A700E">
        <w:rPr>
          <w:lang w:val="fr-CA"/>
        </w:rPr>
        <w:t>tactiles</w:t>
      </w:r>
      <w:bookmarkEnd w:id="644"/>
    </w:p>
    <w:p w14:paraId="526E7292" w14:textId="57E8DAFA" w:rsidR="00E766C0" w:rsidRPr="00E766C0" w:rsidRDefault="00E766C0" w:rsidP="00E766C0">
      <w:pPr>
        <w:pStyle w:val="ListRef"/>
      </w:pPr>
      <w:r>
        <w:t xml:space="preserve">Les </w:t>
      </w:r>
      <w:proofErr w:type="spellStart"/>
      <w:r w:rsidR="000856CC">
        <w:t>panneaux</w:t>
      </w:r>
      <w:proofErr w:type="spellEnd"/>
      <w:r>
        <w:t xml:space="preserve"> tactiles </w:t>
      </w:r>
      <w:proofErr w:type="spellStart"/>
      <w:proofErr w:type="gramStart"/>
      <w:r>
        <w:t>doivent</w:t>
      </w:r>
      <w:proofErr w:type="spellEnd"/>
      <w:r w:rsidR="001C5600">
        <w:t> </w:t>
      </w:r>
      <w:r>
        <w:t>:</w:t>
      </w:r>
      <w:proofErr w:type="gramEnd"/>
    </w:p>
    <w:p w14:paraId="722E2BEB" w14:textId="79ADC93A" w:rsidR="00E766C0" w:rsidRPr="00F746CB" w:rsidRDefault="000856CC" w:rsidP="003F66F0">
      <w:pPr>
        <w:pStyle w:val="ListRef"/>
        <w:numPr>
          <w:ilvl w:val="0"/>
          <w:numId w:val="50"/>
        </w:numPr>
        <w:rPr>
          <w:lang w:val="fr-CA"/>
        </w:rPr>
      </w:pPr>
      <w:proofErr w:type="gramStart"/>
      <w:r w:rsidRPr="000856CC">
        <w:rPr>
          <w:lang w:val="fr-CA"/>
        </w:rPr>
        <w:t>av</w:t>
      </w:r>
      <w:r>
        <w:rPr>
          <w:lang w:val="fr-CA"/>
        </w:rPr>
        <w:t>oir</w:t>
      </w:r>
      <w:proofErr w:type="gramEnd"/>
      <w:r>
        <w:rPr>
          <w:lang w:val="fr-CA"/>
        </w:rPr>
        <w:t xml:space="preserve"> </w:t>
      </w:r>
      <w:r w:rsidR="00E766C0" w:rsidRPr="00F746CB">
        <w:rPr>
          <w:lang w:val="fr-CA"/>
        </w:rPr>
        <w:t xml:space="preserve">des coins arrondis, des bords lisses au toucher, et </w:t>
      </w:r>
      <w:r w:rsidR="00BE6234">
        <w:rPr>
          <w:lang w:val="fr-CA"/>
        </w:rPr>
        <w:t>être</w:t>
      </w:r>
      <w:r w:rsidR="00E766C0" w:rsidRPr="00F746CB">
        <w:rPr>
          <w:lang w:val="fr-CA"/>
        </w:rPr>
        <w:t xml:space="preserve"> exempts d</w:t>
      </w:r>
      <w:r w:rsidR="00561899">
        <w:rPr>
          <w:lang w:val="fr-CA"/>
        </w:rPr>
        <w:t>’</w:t>
      </w:r>
      <w:r w:rsidR="00E766C0" w:rsidRPr="00F746CB">
        <w:rPr>
          <w:lang w:val="fr-CA"/>
        </w:rPr>
        <w:t>éléments rugueux ou abrasifs;</w:t>
      </w:r>
    </w:p>
    <w:p w14:paraId="7057DCB7" w14:textId="7660119F" w:rsidR="00E766C0" w:rsidRPr="00F746CB" w:rsidRDefault="00E766C0" w:rsidP="003F66F0">
      <w:pPr>
        <w:pStyle w:val="ListRef"/>
        <w:numPr>
          <w:ilvl w:val="0"/>
          <w:numId w:val="50"/>
        </w:numPr>
        <w:rPr>
          <w:lang w:val="fr-CA"/>
        </w:rPr>
      </w:pPr>
      <w:proofErr w:type="gramStart"/>
      <w:r w:rsidRPr="00F746CB">
        <w:rPr>
          <w:lang w:val="fr-CA"/>
        </w:rPr>
        <w:t>être</w:t>
      </w:r>
      <w:proofErr w:type="gramEnd"/>
      <w:r w:rsidRPr="00F746CB">
        <w:rPr>
          <w:lang w:val="fr-CA"/>
        </w:rPr>
        <w:t xml:space="preserve"> accessible</w:t>
      </w:r>
      <w:r w:rsidR="00E3046E">
        <w:rPr>
          <w:lang w:val="fr-CA"/>
        </w:rPr>
        <w:t>s</w:t>
      </w:r>
      <w:r w:rsidRPr="00F746CB">
        <w:rPr>
          <w:lang w:val="fr-CA"/>
        </w:rPr>
        <w:t xml:space="preserve"> </w:t>
      </w:r>
      <w:r w:rsidR="00E3046E">
        <w:rPr>
          <w:rFonts w:cs="Arial"/>
          <w:lang w:val="fr-CA"/>
        </w:rPr>
        <w:t>à</w:t>
      </w:r>
      <w:r w:rsidR="00E3046E">
        <w:rPr>
          <w:lang w:val="fr-CA"/>
        </w:rPr>
        <w:t xml:space="preserve"> moins de</w:t>
      </w:r>
      <w:r w:rsidRPr="00F746CB">
        <w:rPr>
          <w:lang w:val="fr-CA"/>
        </w:rPr>
        <w:t xml:space="preserve"> 100</w:t>
      </w:r>
      <w:r w:rsidR="003B2C52">
        <w:rPr>
          <w:lang w:val="fr-CA"/>
        </w:rPr>
        <w:t> </w:t>
      </w:r>
      <w:r w:rsidRPr="00F746CB">
        <w:rPr>
          <w:lang w:val="fr-CA"/>
        </w:rPr>
        <w:t>mm sans rencontrer d</w:t>
      </w:r>
      <w:r w:rsidR="00561899">
        <w:rPr>
          <w:lang w:val="fr-CA"/>
        </w:rPr>
        <w:t>’</w:t>
      </w:r>
      <w:r w:rsidRPr="00F746CB">
        <w:rPr>
          <w:lang w:val="fr-CA"/>
        </w:rPr>
        <w:t xml:space="preserve">objets saillants ni </w:t>
      </w:r>
      <w:r w:rsidR="007A3B43">
        <w:rPr>
          <w:lang w:val="fr-CA"/>
        </w:rPr>
        <w:t xml:space="preserve">avoir </w:t>
      </w:r>
      <w:r w:rsidR="00CA0189">
        <w:rPr>
          <w:lang w:val="fr-CA"/>
        </w:rPr>
        <w:t>à</w:t>
      </w:r>
      <w:r w:rsidR="007A3B43">
        <w:rPr>
          <w:lang w:val="fr-CA"/>
        </w:rPr>
        <w:t xml:space="preserve"> </w:t>
      </w:r>
      <w:r w:rsidRPr="00F746CB">
        <w:rPr>
          <w:lang w:val="fr-CA"/>
        </w:rPr>
        <w:t xml:space="preserve">se tenir </w:t>
      </w:r>
      <w:r w:rsidR="00CA0189">
        <w:rPr>
          <w:lang w:val="fr-CA"/>
        </w:rPr>
        <w:t>à</w:t>
      </w:r>
      <w:r w:rsidR="007A3B43">
        <w:rPr>
          <w:lang w:val="fr-CA"/>
        </w:rPr>
        <w:t xml:space="preserve"> l’</w:t>
      </w:r>
      <w:r w:rsidR="00CA0189">
        <w:rPr>
          <w:lang w:val="fr-CA"/>
        </w:rPr>
        <w:t xml:space="preserve">intérieur du débattement </w:t>
      </w:r>
      <w:r w:rsidR="00AA7C40">
        <w:rPr>
          <w:lang w:val="fr-CA"/>
        </w:rPr>
        <w:t>d’une</w:t>
      </w:r>
      <w:r w:rsidRPr="00F746CB">
        <w:rPr>
          <w:lang w:val="fr-CA"/>
        </w:rPr>
        <w:t xml:space="preserve"> porte;</w:t>
      </w:r>
    </w:p>
    <w:p w14:paraId="75BB4C8B" w14:textId="76B113A8" w:rsidR="00E766C0" w:rsidRPr="00F746CB" w:rsidRDefault="00E766C0" w:rsidP="003F66F0">
      <w:pPr>
        <w:pStyle w:val="ListRef"/>
        <w:numPr>
          <w:ilvl w:val="0"/>
          <w:numId w:val="50"/>
        </w:numPr>
        <w:rPr>
          <w:lang w:val="fr-CA"/>
        </w:rPr>
      </w:pPr>
      <w:proofErr w:type="gramStart"/>
      <w:r w:rsidRPr="00F746CB">
        <w:rPr>
          <w:lang w:val="fr-CA"/>
        </w:rPr>
        <w:t>inclure</w:t>
      </w:r>
      <w:proofErr w:type="gramEnd"/>
      <w:r w:rsidRPr="00F746CB">
        <w:rPr>
          <w:lang w:val="fr-CA"/>
        </w:rPr>
        <w:t xml:space="preserve"> une méthode de communication alternative, comme la technologie audio, les </w:t>
      </w:r>
      <w:r w:rsidR="002218FA">
        <w:rPr>
          <w:lang w:val="fr-CA"/>
        </w:rPr>
        <w:t>brochures</w:t>
      </w:r>
      <w:r w:rsidRPr="00F746CB">
        <w:rPr>
          <w:lang w:val="fr-CA"/>
        </w:rPr>
        <w:t xml:space="preserve"> en braille ou en gros caractères, ou d</w:t>
      </w:r>
      <w:r w:rsidR="00561899">
        <w:rPr>
          <w:lang w:val="fr-CA"/>
        </w:rPr>
        <w:t>’</w:t>
      </w:r>
      <w:r w:rsidRPr="00F746CB">
        <w:rPr>
          <w:lang w:val="fr-CA"/>
        </w:rPr>
        <w:t>autres technologies d</w:t>
      </w:r>
      <w:r w:rsidR="00561899">
        <w:rPr>
          <w:lang w:val="fr-CA"/>
        </w:rPr>
        <w:t>’</w:t>
      </w:r>
      <w:r w:rsidRPr="00F746CB">
        <w:rPr>
          <w:lang w:val="fr-CA"/>
        </w:rPr>
        <w:t>assistance numérique, lorsqu</w:t>
      </w:r>
      <w:r w:rsidR="00561899">
        <w:rPr>
          <w:lang w:val="fr-CA"/>
        </w:rPr>
        <w:t>’</w:t>
      </w:r>
      <w:r w:rsidRPr="00F746CB">
        <w:rPr>
          <w:lang w:val="fr-CA"/>
        </w:rPr>
        <w:t>il contient de grandes quantités d</w:t>
      </w:r>
      <w:r w:rsidR="00561899">
        <w:rPr>
          <w:lang w:val="fr-CA"/>
        </w:rPr>
        <w:t>’</w:t>
      </w:r>
      <w:r w:rsidRPr="00F746CB">
        <w:rPr>
          <w:lang w:val="fr-CA"/>
        </w:rPr>
        <w:t xml:space="preserve">information, particulièrement dans les zones </w:t>
      </w:r>
      <w:r w:rsidR="00BE7217">
        <w:rPr>
          <w:lang w:val="fr-CA"/>
        </w:rPr>
        <w:t xml:space="preserve">très </w:t>
      </w:r>
      <w:r w:rsidR="002218FA">
        <w:rPr>
          <w:lang w:val="fr-CA"/>
        </w:rPr>
        <w:t>fréquentées</w:t>
      </w:r>
      <w:r w:rsidRPr="00F746CB">
        <w:rPr>
          <w:lang w:val="fr-CA"/>
        </w:rPr>
        <w:t xml:space="preserve"> ou lorsque l</w:t>
      </w:r>
      <w:r w:rsidR="00561899">
        <w:rPr>
          <w:lang w:val="fr-CA"/>
        </w:rPr>
        <w:t>’</w:t>
      </w:r>
      <w:r w:rsidRPr="00F746CB">
        <w:rPr>
          <w:lang w:val="fr-CA"/>
        </w:rPr>
        <w:t>emplacement du panneau rend la fourniture d</w:t>
      </w:r>
      <w:r w:rsidR="00561899">
        <w:rPr>
          <w:lang w:val="fr-CA"/>
        </w:rPr>
        <w:t>’</w:t>
      </w:r>
      <w:r w:rsidRPr="00F746CB">
        <w:rPr>
          <w:lang w:val="fr-CA"/>
        </w:rPr>
        <w:t>éléments tactiles impraticable ou dangereuse;</w:t>
      </w:r>
    </w:p>
    <w:p w14:paraId="2D745846" w14:textId="38D9D457" w:rsidR="00E766C0" w:rsidRPr="00F746CB" w:rsidRDefault="00E766C0" w:rsidP="003F66F0">
      <w:pPr>
        <w:pStyle w:val="ListRef"/>
        <w:numPr>
          <w:ilvl w:val="0"/>
          <w:numId w:val="50"/>
        </w:numPr>
        <w:rPr>
          <w:lang w:val="fr-CA"/>
        </w:rPr>
      </w:pPr>
      <w:proofErr w:type="gramStart"/>
      <w:r w:rsidRPr="00F746CB">
        <w:rPr>
          <w:lang w:val="fr-CA"/>
        </w:rPr>
        <w:t>être</w:t>
      </w:r>
      <w:proofErr w:type="gramEnd"/>
      <w:r w:rsidRPr="00F746CB">
        <w:rPr>
          <w:lang w:val="fr-CA"/>
        </w:rPr>
        <w:t xml:space="preserve"> fabriqué</w:t>
      </w:r>
      <w:r w:rsidR="0073730E">
        <w:rPr>
          <w:lang w:val="fr-CA"/>
        </w:rPr>
        <w:t>s</w:t>
      </w:r>
      <w:r w:rsidRPr="00F746CB">
        <w:rPr>
          <w:lang w:val="fr-CA"/>
        </w:rPr>
        <w:t xml:space="preserve"> à partir de matériaux durables et résistants à l</w:t>
      </w:r>
      <w:r w:rsidR="00561899">
        <w:rPr>
          <w:lang w:val="fr-CA"/>
        </w:rPr>
        <w:t>’</w:t>
      </w:r>
      <w:r w:rsidRPr="00F746CB">
        <w:rPr>
          <w:lang w:val="fr-CA"/>
        </w:rPr>
        <w:t>usure ou au vandalisme; et</w:t>
      </w:r>
    </w:p>
    <w:p w14:paraId="636B3EEF" w14:textId="690E2841" w:rsidR="00E766C0" w:rsidRPr="00F746CB" w:rsidRDefault="00E766C0" w:rsidP="003F66F0">
      <w:pPr>
        <w:pStyle w:val="ListRef"/>
        <w:numPr>
          <w:ilvl w:val="0"/>
          <w:numId w:val="50"/>
        </w:numPr>
        <w:rPr>
          <w:lang w:val="fr-CA"/>
        </w:rPr>
      </w:pPr>
      <w:proofErr w:type="gramStart"/>
      <w:r w:rsidRPr="00F746CB">
        <w:rPr>
          <w:lang w:val="fr-CA"/>
        </w:rPr>
        <w:t>être</w:t>
      </w:r>
      <w:proofErr w:type="gramEnd"/>
      <w:r w:rsidRPr="00F746CB">
        <w:rPr>
          <w:lang w:val="fr-CA"/>
        </w:rPr>
        <w:t xml:space="preserve"> appliqué</w:t>
      </w:r>
      <w:r w:rsidR="00197560">
        <w:rPr>
          <w:lang w:val="fr-CA"/>
        </w:rPr>
        <w:t>s</w:t>
      </w:r>
      <w:r w:rsidRPr="00F746CB">
        <w:rPr>
          <w:lang w:val="fr-CA"/>
        </w:rPr>
        <w:t xml:space="preserve"> (fixé</w:t>
      </w:r>
      <w:r w:rsidR="0036173C">
        <w:rPr>
          <w:lang w:val="fr-CA"/>
        </w:rPr>
        <w:t>s</w:t>
      </w:r>
      <w:r w:rsidRPr="00F746CB">
        <w:rPr>
          <w:lang w:val="fr-CA"/>
        </w:rPr>
        <w:t>, sécurisé</w:t>
      </w:r>
      <w:r w:rsidR="0036173C">
        <w:rPr>
          <w:lang w:val="fr-CA"/>
        </w:rPr>
        <w:t>s</w:t>
      </w:r>
      <w:r w:rsidRPr="00F746CB">
        <w:rPr>
          <w:lang w:val="fr-CA"/>
        </w:rPr>
        <w:t>, monté</w:t>
      </w:r>
      <w:r w:rsidR="0036173C">
        <w:rPr>
          <w:lang w:val="fr-CA"/>
        </w:rPr>
        <w:t>s</w:t>
      </w:r>
      <w:r w:rsidRPr="00F746CB">
        <w:rPr>
          <w:lang w:val="fr-CA"/>
        </w:rPr>
        <w:t>, collé</w:t>
      </w:r>
      <w:r w:rsidR="0036173C">
        <w:rPr>
          <w:lang w:val="fr-CA"/>
        </w:rPr>
        <w:t>s</w:t>
      </w:r>
      <w:r w:rsidRPr="00F746CB">
        <w:rPr>
          <w:lang w:val="fr-CA"/>
        </w:rPr>
        <w:t>) avec des matériaux durables et résistants à l</w:t>
      </w:r>
      <w:r w:rsidR="00561899">
        <w:rPr>
          <w:lang w:val="fr-CA"/>
        </w:rPr>
        <w:t>’</w:t>
      </w:r>
      <w:r w:rsidRPr="00F746CB">
        <w:rPr>
          <w:lang w:val="fr-CA"/>
        </w:rPr>
        <w:t>usure ou au vandalisme.</w:t>
      </w:r>
    </w:p>
    <w:p w14:paraId="63C6E7B5" w14:textId="0820E9EF" w:rsidR="0036173C" w:rsidRDefault="0036173C" w:rsidP="0036173C">
      <w:pPr>
        <w:pStyle w:val="ListRef"/>
        <w:contextualSpacing/>
        <w:rPr>
          <w:lang w:val="fr-CA"/>
        </w:rPr>
      </w:pPr>
      <w:r>
        <w:rPr>
          <w:rStyle w:val="EmphasisUseSparingly"/>
          <w:lang w:val="fr-CA"/>
        </w:rPr>
        <w:t xml:space="preserve">Remarque </w:t>
      </w:r>
      <w:r w:rsidR="00E766C0" w:rsidRPr="00F746CB">
        <w:rPr>
          <w:rStyle w:val="EmphasisUseSparingly"/>
          <w:lang w:val="fr-CA"/>
        </w:rPr>
        <w:t>1</w:t>
      </w:r>
      <w:r w:rsidR="001C5600">
        <w:rPr>
          <w:rStyle w:val="EmphasisUseSparingly"/>
          <w:lang w:val="fr-CA"/>
        </w:rPr>
        <w:t> </w:t>
      </w:r>
      <w:r w:rsidR="00E766C0" w:rsidRPr="00F746CB">
        <w:rPr>
          <w:lang w:val="fr-CA"/>
        </w:rPr>
        <w:t>: L</w:t>
      </w:r>
      <w:r w:rsidR="00561899">
        <w:rPr>
          <w:lang w:val="fr-CA"/>
        </w:rPr>
        <w:t>’</w:t>
      </w:r>
      <w:r w:rsidR="00E766C0" w:rsidRPr="00F746CB">
        <w:rPr>
          <w:lang w:val="fr-CA"/>
        </w:rPr>
        <w:t>information qui peut changer fréquemment n</w:t>
      </w:r>
      <w:r w:rsidR="00561899">
        <w:rPr>
          <w:lang w:val="fr-CA"/>
        </w:rPr>
        <w:t>’</w:t>
      </w:r>
      <w:r w:rsidR="00E766C0" w:rsidRPr="00F746CB">
        <w:rPr>
          <w:lang w:val="fr-CA"/>
        </w:rPr>
        <w:t>a pas besoin</w:t>
      </w:r>
    </w:p>
    <w:p w14:paraId="245A37EF" w14:textId="3B3EFCC9" w:rsidR="00E766C0" w:rsidRPr="00F746CB" w:rsidRDefault="00E766C0" w:rsidP="0036173C">
      <w:pPr>
        <w:pStyle w:val="ListRef"/>
        <w:ind w:left="0" w:firstLine="0"/>
        <w:contextualSpacing/>
        <w:rPr>
          <w:lang w:val="fr-CA"/>
        </w:rPr>
      </w:pPr>
      <w:proofErr w:type="gramStart"/>
      <w:r w:rsidRPr="00F746CB">
        <w:rPr>
          <w:lang w:val="fr-CA"/>
        </w:rPr>
        <w:t>d</w:t>
      </w:r>
      <w:r w:rsidR="00561899">
        <w:rPr>
          <w:lang w:val="fr-CA"/>
        </w:rPr>
        <w:t>’</w:t>
      </w:r>
      <w:r w:rsidRPr="00F746CB">
        <w:rPr>
          <w:lang w:val="fr-CA"/>
        </w:rPr>
        <w:t>être</w:t>
      </w:r>
      <w:proofErr w:type="gramEnd"/>
      <w:r w:rsidRPr="00F746CB">
        <w:rPr>
          <w:lang w:val="fr-CA"/>
        </w:rPr>
        <w:t xml:space="preserve"> tactile.</w:t>
      </w:r>
    </w:p>
    <w:p w14:paraId="34208EE3" w14:textId="671D7836" w:rsidR="00E766C0" w:rsidRPr="00F746CB" w:rsidRDefault="0036173C" w:rsidP="00E766C0">
      <w:pPr>
        <w:pStyle w:val="ListRef"/>
        <w:ind w:left="0" w:firstLine="0"/>
        <w:rPr>
          <w:lang w:val="fr-CA"/>
        </w:rPr>
      </w:pPr>
      <w:r>
        <w:rPr>
          <w:rStyle w:val="EmphasisUseSparingly"/>
          <w:lang w:val="fr-CA"/>
        </w:rPr>
        <w:lastRenderedPageBreak/>
        <w:t>Remarque</w:t>
      </w:r>
      <w:r w:rsidR="00E766C0" w:rsidRPr="00F746CB">
        <w:rPr>
          <w:rStyle w:val="EmphasisUseSparingly"/>
          <w:lang w:val="fr-CA"/>
        </w:rPr>
        <w:t xml:space="preserve"> 2</w:t>
      </w:r>
      <w:r w:rsidR="001C5600">
        <w:rPr>
          <w:rStyle w:val="EmphasisUseSparingly"/>
          <w:lang w:val="fr-CA"/>
        </w:rPr>
        <w:t> </w:t>
      </w:r>
      <w:r w:rsidR="00E766C0" w:rsidRPr="00F746CB">
        <w:rPr>
          <w:lang w:val="fr-CA"/>
        </w:rPr>
        <w:t>: Dans certains cas, les panneaux co</w:t>
      </w:r>
      <w:r w:rsidR="00F94146">
        <w:rPr>
          <w:lang w:val="fr-CA"/>
        </w:rPr>
        <w:t>mportant</w:t>
      </w:r>
      <w:r w:rsidR="00E766C0" w:rsidRPr="00F746CB">
        <w:rPr>
          <w:lang w:val="fr-CA"/>
        </w:rPr>
        <w:t xml:space="preserve"> des messages variables peuvent afficher des éléments tactiles pour la p</w:t>
      </w:r>
      <w:r w:rsidR="00B2383D">
        <w:rPr>
          <w:lang w:val="fr-CA"/>
        </w:rPr>
        <w:t>artie</w:t>
      </w:r>
      <w:r w:rsidR="00E766C0" w:rsidRPr="00F746CB">
        <w:rPr>
          <w:lang w:val="fr-CA"/>
        </w:rPr>
        <w:t xml:space="preserve"> permanente du message.</w:t>
      </w:r>
    </w:p>
    <w:p w14:paraId="55621E34" w14:textId="68CFF265" w:rsidR="00F2360F" w:rsidRDefault="00A346A7" w:rsidP="00A11D90">
      <w:pPr>
        <w:pStyle w:val="ListRef"/>
        <w:ind w:left="0" w:firstLine="0"/>
        <w:rPr>
          <w:lang w:val="fr-CA"/>
        </w:rPr>
      </w:pPr>
      <w:r>
        <w:rPr>
          <w:rStyle w:val="EmphasisUseSparingly"/>
          <w:lang w:val="fr-CA"/>
        </w:rPr>
        <w:t>Remarque</w:t>
      </w:r>
      <w:r w:rsidR="00E766C0" w:rsidRPr="00F746CB">
        <w:rPr>
          <w:rStyle w:val="EmphasisUseSparingly"/>
          <w:lang w:val="fr-CA"/>
        </w:rPr>
        <w:t xml:space="preserve"> 3</w:t>
      </w:r>
      <w:r w:rsidR="001C5600">
        <w:rPr>
          <w:rStyle w:val="EmphasisUseSparingly"/>
          <w:lang w:val="fr-CA"/>
        </w:rPr>
        <w:t> </w:t>
      </w:r>
      <w:r w:rsidR="00E766C0" w:rsidRPr="00F746CB">
        <w:rPr>
          <w:rStyle w:val="EmphasisUseSparingly"/>
          <w:lang w:val="fr-CA"/>
        </w:rPr>
        <w:t xml:space="preserve">: </w:t>
      </w:r>
      <w:r w:rsidR="00E766C0" w:rsidRPr="00F746CB">
        <w:rPr>
          <w:lang w:val="fr-CA"/>
        </w:rPr>
        <w:t>Les informations variables peuvent être présentées dans un format alternatif accessible</w:t>
      </w:r>
      <w:r w:rsidR="00F80FD0">
        <w:rPr>
          <w:lang w:val="fr-CA"/>
        </w:rPr>
        <w:t>, le cas échéant</w:t>
      </w:r>
      <w:r w:rsidR="00E766C0" w:rsidRPr="00F746CB">
        <w:rPr>
          <w:lang w:val="fr-CA"/>
        </w:rPr>
        <w:t>.</w:t>
      </w:r>
    </w:p>
    <w:p w14:paraId="3DB46B4F" w14:textId="4548F8C2" w:rsidR="00E766C0" w:rsidRPr="00F746CB" w:rsidRDefault="00C50F7E" w:rsidP="00C50F7E">
      <w:pPr>
        <w:pStyle w:val="Heading3"/>
        <w:rPr>
          <w:lang w:val="fr-CA"/>
        </w:rPr>
      </w:pPr>
      <w:bookmarkStart w:id="645" w:name="_Tactile_signs_at_1"/>
      <w:bookmarkStart w:id="646" w:name="_Toc219706231"/>
      <w:bookmarkEnd w:id="645"/>
      <w:r w:rsidRPr="00F746CB">
        <w:rPr>
          <w:lang w:val="fr-CA"/>
        </w:rPr>
        <w:t>Panneaux tactiles aux portes – emplacement et montage</w:t>
      </w:r>
      <w:bookmarkEnd w:id="646"/>
    </w:p>
    <w:p w14:paraId="4C492F73" w14:textId="6BB14EBA" w:rsidR="00C50F7E" w:rsidRPr="00F746CB" w:rsidRDefault="00C50F7E" w:rsidP="00C50F7E">
      <w:pPr>
        <w:rPr>
          <w:lang w:val="fr-CA"/>
        </w:rPr>
      </w:pPr>
      <w:r w:rsidRPr="00F746CB">
        <w:rPr>
          <w:lang w:val="fr-CA"/>
        </w:rPr>
        <w:t>La signalisation tactile aux portes doit</w:t>
      </w:r>
      <w:r w:rsidR="001C5600">
        <w:rPr>
          <w:lang w:val="fr-CA"/>
        </w:rPr>
        <w:t> </w:t>
      </w:r>
      <w:r w:rsidRPr="00F746CB">
        <w:rPr>
          <w:lang w:val="fr-CA"/>
        </w:rPr>
        <w:t>:</w:t>
      </w:r>
    </w:p>
    <w:p w14:paraId="2EAE2972" w14:textId="5F8A8697" w:rsidR="00C50F7E" w:rsidRPr="00F746CB" w:rsidRDefault="00C50F7E" w:rsidP="003F66F0">
      <w:pPr>
        <w:pStyle w:val="ListRef"/>
        <w:numPr>
          <w:ilvl w:val="0"/>
          <w:numId w:val="51"/>
        </w:numPr>
        <w:rPr>
          <w:lang w:val="fr-CA"/>
        </w:rPr>
      </w:pPr>
      <w:proofErr w:type="gramStart"/>
      <w:r w:rsidRPr="00F746CB">
        <w:rPr>
          <w:lang w:val="fr-CA"/>
        </w:rPr>
        <w:t>lorsqu</w:t>
      </w:r>
      <w:r w:rsidR="00561899">
        <w:rPr>
          <w:lang w:val="fr-CA"/>
        </w:rPr>
        <w:t>’</w:t>
      </w:r>
      <w:r w:rsidRPr="00F746CB">
        <w:rPr>
          <w:lang w:val="fr-CA"/>
        </w:rPr>
        <w:t>il</w:t>
      </w:r>
      <w:proofErr w:type="gramEnd"/>
      <w:r w:rsidRPr="00F746CB">
        <w:rPr>
          <w:lang w:val="fr-CA"/>
        </w:rPr>
        <w:t xml:space="preserve"> y a des portes doubles, être installé à un emplacement </w:t>
      </w:r>
      <w:r w:rsidR="008E71CC" w:rsidRPr="00F746CB">
        <w:rPr>
          <w:lang w:val="fr-CA"/>
        </w:rPr>
        <w:t>co</w:t>
      </w:r>
      <w:r w:rsidR="008E71CC">
        <w:rPr>
          <w:lang w:val="fr-CA"/>
        </w:rPr>
        <w:t>hérent</w:t>
      </w:r>
      <w:r w:rsidRPr="00F746CB">
        <w:rPr>
          <w:lang w:val="fr-CA"/>
        </w:rPr>
        <w:t xml:space="preserve"> de chaque côté de la porte;</w:t>
      </w:r>
    </w:p>
    <w:p w14:paraId="6A78BCA6" w14:textId="52FFFB9D" w:rsidR="00C50F7E" w:rsidRPr="00F746CB" w:rsidRDefault="004E0795" w:rsidP="003F66F0">
      <w:pPr>
        <w:pStyle w:val="ListRef"/>
        <w:numPr>
          <w:ilvl w:val="0"/>
          <w:numId w:val="51"/>
        </w:numPr>
        <w:rPr>
          <w:lang w:val="fr-CA"/>
        </w:rPr>
      </w:pPr>
      <w:proofErr w:type="gramStart"/>
      <w:r>
        <w:rPr>
          <w:lang w:val="fr-CA"/>
        </w:rPr>
        <w:t>l</w:t>
      </w:r>
      <w:r w:rsidR="00C50F7E" w:rsidRPr="00F746CB">
        <w:rPr>
          <w:lang w:val="fr-CA"/>
        </w:rPr>
        <w:t>orsque</w:t>
      </w:r>
      <w:proofErr w:type="gramEnd"/>
      <w:r w:rsidR="00C50F7E" w:rsidRPr="00F746CB">
        <w:rPr>
          <w:lang w:val="fr-CA"/>
        </w:rPr>
        <w:t xml:space="preserve"> l</w:t>
      </w:r>
      <w:r w:rsidR="00561899">
        <w:rPr>
          <w:lang w:val="fr-CA"/>
        </w:rPr>
        <w:t>’</w:t>
      </w:r>
      <w:r w:rsidR="00C50F7E" w:rsidRPr="00F746CB">
        <w:rPr>
          <w:lang w:val="fr-CA"/>
        </w:rPr>
        <w:t>espace mural n</w:t>
      </w:r>
      <w:r w:rsidR="00561899">
        <w:rPr>
          <w:lang w:val="fr-CA"/>
        </w:rPr>
        <w:t>’</w:t>
      </w:r>
      <w:r w:rsidR="00C50F7E" w:rsidRPr="00F746CB">
        <w:rPr>
          <w:lang w:val="fr-CA"/>
        </w:rPr>
        <w:t>est pas suffisant, être installé sur le mur adjacent le plus proche;</w:t>
      </w:r>
    </w:p>
    <w:p w14:paraId="34EA1C06" w14:textId="1A626478" w:rsidR="00C50F7E" w:rsidRPr="00F746CB" w:rsidRDefault="00C50F7E" w:rsidP="003F66F0">
      <w:pPr>
        <w:pStyle w:val="ListRef"/>
        <w:numPr>
          <w:ilvl w:val="0"/>
          <w:numId w:val="51"/>
        </w:numPr>
        <w:rPr>
          <w:lang w:val="fr-CA"/>
        </w:rPr>
      </w:pPr>
      <w:proofErr w:type="gramStart"/>
      <w:r w:rsidRPr="00F746CB">
        <w:rPr>
          <w:lang w:val="fr-CA"/>
        </w:rPr>
        <w:t>ne</w:t>
      </w:r>
      <w:proofErr w:type="gramEnd"/>
      <w:r w:rsidRPr="00F746CB">
        <w:rPr>
          <w:lang w:val="fr-CA"/>
        </w:rPr>
        <w:t xml:space="preserve"> pas être monté directement sur la porte </w:t>
      </w:r>
      <w:r w:rsidR="00DD6B66">
        <w:rPr>
          <w:lang w:val="fr-CA"/>
        </w:rPr>
        <w:t xml:space="preserve">elle-même </w:t>
      </w:r>
      <w:r w:rsidRPr="00F746CB">
        <w:rPr>
          <w:lang w:val="fr-CA"/>
        </w:rPr>
        <w:t>pour réduire le risque de collision;</w:t>
      </w:r>
    </w:p>
    <w:p w14:paraId="1441E55A" w14:textId="01CAF6E7" w:rsidR="00C50F7E" w:rsidRPr="00F746CB" w:rsidRDefault="00C50F7E" w:rsidP="003F66F0">
      <w:pPr>
        <w:pStyle w:val="ListRef"/>
        <w:numPr>
          <w:ilvl w:val="0"/>
          <w:numId w:val="51"/>
        </w:numPr>
        <w:rPr>
          <w:lang w:val="fr-CA"/>
        </w:rPr>
      </w:pPr>
      <w:bookmarkStart w:id="647" w:name="_Hlk174642655"/>
      <w:proofErr w:type="gramStart"/>
      <w:r w:rsidRPr="00F746CB">
        <w:rPr>
          <w:lang w:val="fr-CA"/>
        </w:rPr>
        <w:t>être</w:t>
      </w:r>
      <w:proofErr w:type="gramEnd"/>
      <w:r w:rsidRPr="00F746CB">
        <w:rPr>
          <w:lang w:val="fr-CA"/>
        </w:rPr>
        <w:t xml:space="preserve"> placé sur le mur du côté d</w:t>
      </w:r>
      <w:r w:rsidR="001C59A7">
        <w:rPr>
          <w:lang w:val="fr-CA"/>
        </w:rPr>
        <w:t>e la gâche</w:t>
      </w:r>
      <w:r w:rsidRPr="00F746CB">
        <w:rPr>
          <w:lang w:val="fr-CA"/>
        </w:rPr>
        <w:t xml:space="preserve"> des portes ou ouvertures pour assurer que les gens puissent le lire en toute sécurité;</w:t>
      </w:r>
    </w:p>
    <w:p w14:paraId="3F087900" w14:textId="78CE18DB" w:rsidR="00C50F7E" w:rsidRPr="00F746CB" w:rsidRDefault="00C50F7E" w:rsidP="003F66F0">
      <w:pPr>
        <w:pStyle w:val="ListRef"/>
        <w:numPr>
          <w:ilvl w:val="0"/>
          <w:numId w:val="51"/>
        </w:numPr>
        <w:rPr>
          <w:lang w:val="fr-CA"/>
        </w:rPr>
      </w:pPr>
      <w:proofErr w:type="gramStart"/>
      <w:r w:rsidRPr="00F746CB">
        <w:rPr>
          <w:lang w:val="fr-CA"/>
        </w:rPr>
        <w:t>être</w:t>
      </w:r>
      <w:proofErr w:type="gramEnd"/>
      <w:r w:rsidRPr="00F746CB">
        <w:rPr>
          <w:lang w:val="fr-CA"/>
        </w:rPr>
        <w:t xml:space="preserve"> à une distance de 1</w:t>
      </w:r>
      <w:r w:rsidR="002D32D7">
        <w:rPr>
          <w:lang w:val="fr-CA"/>
        </w:rPr>
        <w:t xml:space="preserve">40 </w:t>
      </w:r>
      <w:r w:rsidR="002D32D7">
        <w:rPr>
          <w:rFonts w:cs="Arial"/>
          <w:lang w:val="fr-CA"/>
        </w:rPr>
        <w:t>à</w:t>
      </w:r>
      <w:r w:rsidR="002D32D7">
        <w:rPr>
          <w:lang w:val="fr-CA"/>
        </w:rPr>
        <w:t xml:space="preserve"> 160</w:t>
      </w:r>
      <w:r w:rsidR="003B2C52">
        <w:rPr>
          <w:lang w:val="fr-CA"/>
        </w:rPr>
        <w:t> </w:t>
      </w:r>
      <w:r w:rsidRPr="00F746CB">
        <w:rPr>
          <w:lang w:val="fr-CA"/>
        </w:rPr>
        <w:t>mm du bord vertical du chambranle de la porte; et</w:t>
      </w:r>
    </w:p>
    <w:bookmarkEnd w:id="647"/>
    <w:p w14:paraId="4316BD88" w14:textId="2F838500" w:rsidR="00C50F7E" w:rsidRPr="00F746CB" w:rsidRDefault="00C50F7E" w:rsidP="003F66F0">
      <w:pPr>
        <w:pStyle w:val="ListRef"/>
        <w:numPr>
          <w:ilvl w:val="0"/>
          <w:numId w:val="51"/>
        </w:numPr>
        <w:rPr>
          <w:lang w:val="fr-CA"/>
        </w:rPr>
      </w:pPr>
      <w:proofErr w:type="gramStart"/>
      <w:r w:rsidRPr="00F746CB">
        <w:rPr>
          <w:lang w:val="fr-CA"/>
        </w:rPr>
        <w:t>avoir</w:t>
      </w:r>
      <w:proofErr w:type="gramEnd"/>
      <w:r w:rsidRPr="00F746CB">
        <w:rPr>
          <w:lang w:val="fr-CA"/>
        </w:rPr>
        <w:t xml:space="preserve"> une </w:t>
      </w:r>
      <w:r w:rsidR="000C5741">
        <w:rPr>
          <w:lang w:val="fr-CA"/>
        </w:rPr>
        <w:t>surface murale</w:t>
      </w:r>
      <w:r w:rsidRPr="00F746CB">
        <w:rPr>
          <w:lang w:val="fr-CA"/>
        </w:rPr>
        <w:t xml:space="preserve"> dégagée </w:t>
      </w:r>
      <w:r w:rsidR="00C824BA">
        <w:rPr>
          <w:lang w:val="fr-CA"/>
        </w:rPr>
        <w:t>autour du panneau</w:t>
      </w:r>
      <w:r w:rsidR="001326E4">
        <w:rPr>
          <w:lang w:val="fr-CA"/>
        </w:rPr>
        <w:t xml:space="preserve"> </w:t>
      </w:r>
      <w:r w:rsidR="001326E4" w:rsidRPr="00F746CB">
        <w:rPr>
          <w:lang w:val="fr-CA"/>
        </w:rPr>
        <w:t>de 75</w:t>
      </w:r>
      <w:r w:rsidR="003B2C52">
        <w:rPr>
          <w:lang w:val="fr-CA"/>
        </w:rPr>
        <w:t> </w:t>
      </w:r>
      <w:r w:rsidR="001326E4" w:rsidRPr="00F746CB">
        <w:rPr>
          <w:lang w:val="fr-CA"/>
        </w:rPr>
        <w:t>mm de large</w:t>
      </w:r>
      <w:r w:rsidRPr="00F746CB">
        <w:rPr>
          <w:lang w:val="fr-CA"/>
        </w:rPr>
        <w:t>.</w:t>
      </w:r>
    </w:p>
    <w:p w14:paraId="026A8A52" w14:textId="3DD764A8" w:rsidR="00C50F7E" w:rsidRPr="00F746CB" w:rsidRDefault="008B793F" w:rsidP="00F17445">
      <w:pPr>
        <w:pStyle w:val="Heading3"/>
        <w:rPr>
          <w:lang w:val="fr-CA"/>
        </w:rPr>
      </w:pPr>
      <w:bookmarkStart w:id="648" w:name="_Tactile_signs_at"/>
      <w:bookmarkStart w:id="649" w:name="_Toc219706232"/>
      <w:bookmarkEnd w:id="648"/>
      <w:r>
        <w:rPr>
          <w:lang w:val="fr-CA"/>
        </w:rPr>
        <w:t>Panneaux</w:t>
      </w:r>
      <w:r w:rsidR="00F17445" w:rsidRPr="00F746CB">
        <w:rPr>
          <w:lang w:val="fr-CA"/>
        </w:rPr>
        <w:t xml:space="preserve"> tactiles à </w:t>
      </w:r>
      <w:r w:rsidR="00F17445" w:rsidRPr="00C11A87">
        <w:rPr>
          <w:lang w:val="fr-CA"/>
        </w:rPr>
        <w:t>hauteur des yeux</w:t>
      </w:r>
      <w:bookmarkEnd w:id="649"/>
    </w:p>
    <w:p w14:paraId="29DB9FD7" w14:textId="48C283A0" w:rsidR="00F17445" w:rsidRPr="00F746CB" w:rsidRDefault="00F17445" w:rsidP="00F17445">
      <w:pPr>
        <w:rPr>
          <w:lang w:val="fr-CA"/>
        </w:rPr>
      </w:pPr>
      <w:r w:rsidRPr="00F746CB">
        <w:rPr>
          <w:lang w:val="fr-CA"/>
        </w:rPr>
        <w:t xml:space="preserve">Le niveau des yeux peut être interprété différemment selon la taille de la personne ou si elle est assise ou debout. Les exigences ci-dessous visent à fournir des </w:t>
      </w:r>
      <w:r w:rsidR="004711A4">
        <w:rPr>
          <w:lang w:val="fr-CA"/>
        </w:rPr>
        <w:t>directive</w:t>
      </w:r>
      <w:r w:rsidRPr="00F746CB">
        <w:rPr>
          <w:lang w:val="fr-CA"/>
        </w:rPr>
        <w:t>s selon les différents niveaux d</w:t>
      </w:r>
      <w:r w:rsidR="00561899">
        <w:rPr>
          <w:lang w:val="fr-CA"/>
        </w:rPr>
        <w:t>’</w:t>
      </w:r>
      <w:r w:rsidRPr="00F746CB">
        <w:rPr>
          <w:lang w:val="fr-CA"/>
        </w:rPr>
        <w:t>œil.</w:t>
      </w:r>
    </w:p>
    <w:p w14:paraId="63BF432A" w14:textId="77777777" w:rsidR="00A11D90" w:rsidRDefault="00A11D90">
      <w:pPr>
        <w:keepLines w:val="0"/>
        <w:spacing w:before="0" w:beforeAutospacing="0" w:line="259" w:lineRule="auto"/>
        <w:rPr>
          <w:lang w:val="fr-CA"/>
        </w:rPr>
      </w:pPr>
      <w:r>
        <w:rPr>
          <w:lang w:val="fr-CA"/>
        </w:rPr>
        <w:br w:type="page"/>
      </w:r>
    </w:p>
    <w:p w14:paraId="5D400F2E" w14:textId="0FA26311" w:rsidR="002A2B69" w:rsidRPr="00F746CB" w:rsidRDefault="002A2B69" w:rsidP="002A2B69">
      <w:pPr>
        <w:pStyle w:val="ListRef"/>
        <w:rPr>
          <w:lang w:val="fr-CA"/>
        </w:rPr>
      </w:pPr>
      <w:r w:rsidRPr="00F746CB">
        <w:rPr>
          <w:lang w:val="fr-CA"/>
        </w:rPr>
        <w:lastRenderedPageBreak/>
        <w:t xml:space="preserve">Les </w:t>
      </w:r>
      <w:r w:rsidR="004711A4">
        <w:rPr>
          <w:lang w:val="fr-CA"/>
        </w:rPr>
        <w:t>panneau</w:t>
      </w:r>
      <w:r w:rsidR="00961381">
        <w:rPr>
          <w:lang w:val="fr-CA"/>
        </w:rPr>
        <w:t>x</w:t>
      </w:r>
      <w:r w:rsidRPr="00F746CB">
        <w:rPr>
          <w:lang w:val="fr-CA"/>
        </w:rPr>
        <w:t xml:space="preserve"> tactiles à hauteur des yeux doivent</w:t>
      </w:r>
      <w:r w:rsidR="001C5600">
        <w:rPr>
          <w:lang w:val="fr-CA"/>
        </w:rPr>
        <w:t> </w:t>
      </w:r>
      <w:r w:rsidRPr="00F746CB">
        <w:rPr>
          <w:lang w:val="fr-CA"/>
        </w:rPr>
        <w:t>:</w:t>
      </w:r>
    </w:p>
    <w:p w14:paraId="7D9332E5" w14:textId="123F10D7" w:rsidR="002A2B69" w:rsidRPr="00916F57" w:rsidRDefault="00C02DFC" w:rsidP="003F66F0">
      <w:pPr>
        <w:pStyle w:val="ListRef"/>
        <w:numPr>
          <w:ilvl w:val="0"/>
          <w:numId w:val="52"/>
        </w:numPr>
        <w:rPr>
          <w:lang w:val="fr-CA"/>
        </w:rPr>
      </w:pPr>
      <w:proofErr w:type="gramStart"/>
      <w:r w:rsidRPr="00F746CB">
        <w:rPr>
          <w:lang w:val="fr-CA"/>
        </w:rPr>
        <w:t>être</w:t>
      </w:r>
      <w:proofErr w:type="gramEnd"/>
      <w:r w:rsidRPr="00F746CB">
        <w:rPr>
          <w:lang w:val="fr-CA"/>
        </w:rPr>
        <w:t xml:space="preserve"> localisé et installé conformément à l</w:t>
      </w:r>
      <w:r w:rsidR="009C3DA0">
        <w:rPr>
          <w:lang w:val="fr-CA"/>
        </w:rPr>
        <w:t>’article</w:t>
      </w:r>
      <w:r w:rsidR="00511517" w:rsidRPr="00511517">
        <w:rPr>
          <w:lang w:val="fr-CA"/>
        </w:rPr>
        <w:t xml:space="preserve"> </w:t>
      </w:r>
      <w:r w:rsidR="00511517">
        <w:fldChar w:fldCharType="begin"/>
      </w:r>
      <w:r w:rsidR="00511517" w:rsidRPr="007C0FBA">
        <w:rPr>
          <w:lang w:val="fr-CA"/>
        </w:rPr>
        <w:instrText>HYPERLINK \l "_Emplacement_des_panneaux"</w:instrText>
      </w:r>
      <w:r w:rsidR="00511517">
        <w:fldChar w:fldCharType="separate"/>
      </w:r>
      <w:r w:rsidR="00511517" w:rsidRPr="00511517">
        <w:rPr>
          <w:rStyle w:val="Hyperlink"/>
          <w:lang w:val="fr-CA"/>
        </w:rPr>
        <w:t>12.6.1</w:t>
      </w:r>
      <w:r w:rsidR="00511517">
        <w:fldChar w:fldCharType="end"/>
      </w:r>
      <w:r w:rsidR="002A2B69" w:rsidRPr="00916F57">
        <w:rPr>
          <w:lang w:val="fr-CA"/>
        </w:rPr>
        <w:t>;</w:t>
      </w:r>
    </w:p>
    <w:p w14:paraId="13147D92" w14:textId="68DE25AF" w:rsidR="002A2B69" w:rsidRPr="00916F57" w:rsidRDefault="002A2B69" w:rsidP="003F66F0">
      <w:pPr>
        <w:pStyle w:val="ListRef"/>
        <w:numPr>
          <w:ilvl w:val="0"/>
          <w:numId w:val="52"/>
        </w:numPr>
        <w:rPr>
          <w:lang w:val="fr-CA"/>
        </w:rPr>
      </w:pPr>
      <w:proofErr w:type="gramStart"/>
      <w:r w:rsidRPr="00916F57">
        <w:rPr>
          <w:lang w:val="fr-CA"/>
        </w:rPr>
        <w:t>être</w:t>
      </w:r>
      <w:proofErr w:type="gramEnd"/>
      <w:r w:rsidRPr="00916F57">
        <w:rPr>
          <w:lang w:val="fr-CA"/>
        </w:rPr>
        <w:t xml:space="preserve"> accessibles (frontal et latéralement) à partir </w:t>
      </w:r>
      <w:r w:rsidR="00D4221A">
        <w:rPr>
          <w:lang w:val="fr-CA"/>
        </w:rPr>
        <w:t>d’</w:t>
      </w:r>
      <w:r w:rsidR="00325887">
        <w:rPr>
          <w:lang w:val="fr-CA"/>
        </w:rPr>
        <w:t>appareil</w:t>
      </w:r>
      <w:r w:rsidR="00D4221A">
        <w:rPr>
          <w:lang w:val="fr-CA"/>
        </w:rPr>
        <w:t>s</w:t>
      </w:r>
      <w:r w:rsidRPr="00916F57">
        <w:rPr>
          <w:lang w:val="fr-CA"/>
        </w:rPr>
        <w:t xml:space="preserve"> de mobilité à roues (manuels et </w:t>
      </w:r>
      <w:r w:rsidR="00D4221A">
        <w:rPr>
          <w:lang w:val="fr-CA"/>
        </w:rPr>
        <w:t>électrique</w:t>
      </w:r>
      <w:r w:rsidR="00D4221A" w:rsidRPr="00D4221A">
        <w:rPr>
          <w:lang w:val="fr-CA"/>
        </w:rPr>
        <w:t>s</w:t>
      </w:r>
      <w:r w:rsidRPr="00916F57">
        <w:rPr>
          <w:lang w:val="fr-CA"/>
        </w:rPr>
        <w:t>) lorsqu</w:t>
      </w:r>
      <w:r w:rsidR="00561899">
        <w:rPr>
          <w:lang w:val="fr-CA"/>
        </w:rPr>
        <w:t>’</w:t>
      </w:r>
      <w:r w:rsidRPr="00916F57">
        <w:rPr>
          <w:lang w:val="fr-CA"/>
        </w:rPr>
        <w:t xml:space="preserve">ils sont </w:t>
      </w:r>
      <w:r w:rsidR="00D4221A">
        <w:rPr>
          <w:lang w:val="fr-CA"/>
        </w:rPr>
        <w:t>fix</w:t>
      </w:r>
      <w:r w:rsidRPr="00916F57">
        <w:rPr>
          <w:lang w:val="fr-CA"/>
        </w:rPr>
        <w:t>és au mur;</w:t>
      </w:r>
    </w:p>
    <w:p w14:paraId="1421FF9E" w14:textId="77777777" w:rsidR="002A2B69" w:rsidRPr="00916F57" w:rsidRDefault="002A2B69" w:rsidP="003F66F0">
      <w:pPr>
        <w:pStyle w:val="ListRef"/>
        <w:numPr>
          <w:ilvl w:val="0"/>
          <w:numId w:val="52"/>
        </w:numPr>
        <w:rPr>
          <w:lang w:val="fr-CA"/>
        </w:rPr>
      </w:pPr>
      <w:proofErr w:type="gramStart"/>
      <w:r w:rsidRPr="00916F57">
        <w:rPr>
          <w:lang w:val="fr-CA"/>
        </w:rPr>
        <w:t>inclure</w:t>
      </w:r>
      <w:proofErr w:type="gramEnd"/>
      <w:r w:rsidRPr="00916F57">
        <w:rPr>
          <w:lang w:val="fr-CA"/>
        </w:rPr>
        <w:t xml:space="preserve"> des tolérances pour un placement plus bas dans des contextes où les usagers du bâtiment, comme les enfants, doivent exiger un panneau plus bas;</w:t>
      </w:r>
    </w:p>
    <w:p w14:paraId="7757FF00" w14:textId="5D5541B5" w:rsidR="002A2B69" w:rsidRPr="00916F57" w:rsidRDefault="002A2B69" w:rsidP="003F66F0">
      <w:pPr>
        <w:pStyle w:val="ListRef"/>
        <w:numPr>
          <w:ilvl w:val="0"/>
          <w:numId w:val="52"/>
        </w:numPr>
        <w:rPr>
          <w:lang w:val="fr-CA"/>
        </w:rPr>
      </w:pPr>
      <w:proofErr w:type="gramStart"/>
      <w:r w:rsidRPr="00916F57">
        <w:rPr>
          <w:lang w:val="fr-CA"/>
        </w:rPr>
        <w:t>nécessite</w:t>
      </w:r>
      <w:r w:rsidR="003E1380">
        <w:rPr>
          <w:lang w:val="fr-CA"/>
        </w:rPr>
        <w:t>r</w:t>
      </w:r>
      <w:proofErr w:type="gramEnd"/>
      <w:r w:rsidRPr="00916F57">
        <w:rPr>
          <w:lang w:val="fr-CA"/>
        </w:rPr>
        <w:t xml:space="preserve"> une zone dégagée de 820</w:t>
      </w:r>
      <w:r w:rsidR="003B2C52">
        <w:rPr>
          <w:lang w:val="fr-CA"/>
        </w:rPr>
        <w:t> </w:t>
      </w:r>
      <w:r w:rsidRPr="00916F57">
        <w:rPr>
          <w:lang w:val="fr-CA"/>
        </w:rPr>
        <w:t>mm x 1390</w:t>
      </w:r>
      <w:r w:rsidR="003B2C52">
        <w:rPr>
          <w:lang w:val="fr-CA"/>
        </w:rPr>
        <w:t> </w:t>
      </w:r>
      <w:r w:rsidRPr="00916F57">
        <w:rPr>
          <w:lang w:val="fr-CA"/>
        </w:rPr>
        <w:t>mm devant le panneau lorsqu</w:t>
      </w:r>
      <w:r w:rsidR="00AB16E8">
        <w:rPr>
          <w:lang w:val="fr-CA"/>
        </w:rPr>
        <w:t>’</w:t>
      </w:r>
      <w:r w:rsidRPr="00916F57">
        <w:rPr>
          <w:lang w:val="fr-CA"/>
        </w:rPr>
        <w:t xml:space="preserve">il est fixé au mur; et </w:t>
      </w:r>
    </w:p>
    <w:p w14:paraId="05DEA275" w14:textId="2D743F8E" w:rsidR="002A2B69" w:rsidRPr="00916F57" w:rsidRDefault="0036468F" w:rsidP="003F66F0">
      <w:pPr>
        <w:pStyle w:val="ListRef"/>
        <w:numPr>
          <w:ilvl w:val="0"/>
          <w:numId w:val="52"/>
        </w:numPr>
        <w:rPr>
          <w:lang w:val="fr-CA"/>
        </w:rPr>
      </w:pPr>
      <w:proofErr w:type="gramStart"/>
      <w:r w:rsidRPr="0036468F">
        <w:rPr>
          <w:lang w:val="fr-CA"/>
        </w:rPr>
        <w:t>lorsqu</w:t>
      </w:r>
      <w:r w:rsidR="00AB16E8">
        <w:rPr>
          <w:lang w:val="fr-CA"/>
        </w:rPr>
        <w:t>’</w:t>
      </w:r>
      <w:r w:rsidRPr="0036468F">
        <w:rPr>
          <w:lang w:val="fr-CA"/>
        </w:rPr>
        <w:t>ils</w:t>
      </w:r>
      <w:proofErr w:type="gramEnd"/>
      <w:r w:rsidRPr="0036468F">
        <w:rPr>
          <w:lang w:val="fr-CA"/>
        </w:rPr>
        <w:t xml:space="preserve"> sont installés sur des poteaux, être détectables par une canne afin de se conformer à </w:t>
      </w:r>
      <w:r w:rsidR="003E1380">
        <w:rPr>
          <w:lang w:val="fr-CA"/>
        </w:rPr>
        <w:t>l’article</w:t>
      </w:r>
      <w:r w:rsidR="002A2B69" w:rsidRPr="00916F57">
        <w:rPr>
          <w:lang w:val="fr-CA"/>
        </w:rPr>
        <w:t xml:space="preserve"> </w:t>
      </w:r>
      <w:r w:rsidR="00683B84">
        <w:fldChar w:fldCharType="begin"/>
      </w:r>
      <w:r w:rsidR="00683B84" w:rsidRPr="007C0FBA">
        <w:rPr>
          <w:lang w:val="fr-CA"/>
        </w:rPr>
        <w:instrText>HYPERLINK \l "_Obstacles_on_paths"</w:instrText>
      </w:r>
      <w:r w:rsidR="00683B84">
        <w:fldChar w:fldCharType="separate"/>
      </w:r>
      <w:r w:rsidR="00683B84" w:rsidRPr="00916F57">
        <w:rPr>
          <w:rStyle w:val="Hyperlink"/>
          <w:lang w:val="fr-CA"/>
        </w:rPr>
        <w:t>1</w:t>
      </w:r>
      <w:r w:rsidR="00567103">
        <w:rPr>
          <w:rStyle w:val="Hyperlink"/>
          <w:lang w:val="fr-CA"/>
        </w:rPr>
        <w:t>1</w:t>
      </w:r>
      <w:r w:rsidR="00683B84" w:rsidRPr="00916F57">
        <w:rPr>
          <w:rStyle w:val="Hyperlink"/>
          <w:lang w:val="fr-CA"/>
        </w:rPr>
        <w:t>.2.1</w:t>
      </w:r>
      <w:r w:rsidR="00683B84">
        <w:fldChar w:fldCharType="end"/>
      </w:r>
      <w:r w:rsidR="002A2B69" w:rsidRPr="00916F57">
        <w:rPr>
          <w:lang w:val="fr-CA"/>
        </w:rPr>
        <w:t>.</w:t>
      </w:r>
    </w:p>
    <w:p w14:paraId="00DDA779" w14:textId="1FD9B367" w:rsidR="00E766C0" w:rsidRPr="00916F57" w:rsidRDefault="003E1380" w:rsidP="002A2B69">
      <w:pPr>
        <w:rPr>
          <w:lang w:val="fr-CA"/>
        </w:rPr>
      </w:pPr>
      <w:r>
        <w:rPr>
          <w:rStyle w:val="EmphasisUseSparingly"/>
          <w:lang w:val="fr-CA"/>
        </w:rPr>
        <w:t>Remarque</w:t>
      </w:r>
      <w:r w:rsidR="001C5600">
        <w:rPr>
          <w:rStyle w:val="EmphasisUseSparingly"/>
          <w:lang w:val="fr-CA"/>
        </w:rPr>
        <w:t> </w:t>
      </w:r>
      <w:r w:rsidR="002A2B69" w:rsidRPr="00916F57">
        <w:rPr>
          <w:rStyle w:val="EmphasisUseSparingly"/>
          <w:lang w:val="fr-CA"/>
        </w:rPr>
        <w:t xml:space="preserve">: </w:t>
      </w:r>
      <w:r w:rsidR="002A2B69" w:rsidRPr="00916F57">
        <w:rPr>
          <w:lang w:val="fr-CA"/>
        </w:rPr>
        <w:t xml:space="preserve">La signalisation à hauteur des yeux et tactile doit être adjacente </w:t>
      </w:r>
      <w:r w:rsidR="00916F57" w:rsidRPr="00916F57">
        <w:rPr>
          <w:lang w:val="fr-CA"/>
        </w:rPr>
        <w:t>aux voies</w:t>
      </w:r>
      <w:r w:rsidR="002A2B69" w:rsidRPr="00916F57">
        <w:rPr>
          <w:lang w:val="fr-CA"/>
        </w:rPr>
        <w:t xml:space="preserve"> de circulation et installée à portée de main (600</w:t>
      </w:r>
      <w:r w:rsidR="003B2C52">
        <w:rPr>
          <w:lang w:val="fr-CA"/>
        </w:rPr>
        <w:t> </w:t>
      </w:r>
      <w:r w:rsidR="002A2B69" w:rsidRPr="00916F57">
        <w:rPr>
          <w:lang w:val="fr-CA"/>
        </w:rPr>
        <w:t>mm maximum).</w:t>
      </w:r>
    </w:p>
    <w:p w14:paraId="1D1952FA" w14:textId="4389EF36" w:rsidR="002A2B69" w:rsidRDefault="00EC0752" w:rsidP="00EC0752">
      <w:pPr>
        <w:pStyle w:val="Heading3"/>
      </w:pPr>
      <w:bookmarkStart w:id="650" w:name="_Toc219706233"/>
      <w:proofErr w:type="spellStart"/>
      <w:r>
        <w:t>Caractères</w:t>
      </w:r>
      <w:proofErr w:type="spellEnd"/>
      <w:r>
        <w:t xml:space="preserve"> tactiles</w:t>
      </w:r>
      <w:bookmarkEnd w:id="650"/>
    </w:p>
    <w:p w14:paraId="590D71BA" w14:textId="47E7114A" w:rsidR="00EC0752" w:rsidRPr="00AA0E68" w:rsidRDefault="00EC0752" w:rsidP="00EC0752">
      <w:r>
        <w:t xml:space="preserve">Les </w:t>
      </w:r>
      <w:proofErr w:type="spellStart"/>
      <w:r>
        <w:t>caractères</w:t>
      </w:r>
      <w:proofErr w:type="spellEnd"/>
      <w:r>
        <w:t xml:space="preserve"> tactiles </w:t>
      </w:r>
      <w:proofErr w:type="spellStart"/>
      <w:proofErr w:type="gramStart"/>
      <w:r>
        <w:t>doivent</w:t>
      </w:r>
      <w:proofErr w:type="spellEnd"/>
      <w:r w:rsidR="001C5600">
        <w:t> </w:t>
      </w:r>
      <w:r>
        <w:t>:</w:t>
      </w:r>
      <w:proofErr w:type="gramEnd"/>
    </w:p>
    <w:p w14:paraId="73D0D6AA" w14:textId="35CDE9D0" w:rsidR="00EC0752" w:rsidRPr="00916F57" w:rsidRDefault="00987E76" w:rsidP="003F66F0">
      <w:pPr>
        <w:pStyle w:val="ListRef"/>
        <w:numPr>
          <w:ilvl w:val="0"/>
          <w:numId w:val="53"/>
        </w:numPr>
        <w:rPr>
          <w:lang w:val="fr-CA"/>
        </w:rPr>
      </w:pPr>
      <w:proofErr w:type="gramStart"/>
      <w:r w:rsidRPr="00151BCF">
        <w:rPr>
          <w:lang w:val="fr-CA"/>
        </w:rPr>
        <w:t>p</w:t>
      </w:r>
      <w:r w:rsidR="00EC0752" w:rsidRPr="00916F57">
        <w:rPr>
          <w:lang w:val="fr-CA"/>
        </w:rPr>
        <w:t>résente</w:t>
      </w:r>
      <w:r>
        <w:rPr>
          <w:lang w:val="fr-CA"/>
        </w:rPr>
        <w:t>r</w:t>
      </w:r>
      <w:proofErr w:type="gramEnd"/>
      <w:r>
        <w:rPr>
          <w:lang w:val="fr-CA"/>
        </w:rPr>
        <w:t xml:space="preserve"> </w:t>
      </w:r>
      <w:r w:rsidR="00EC0752" w:rsidRPr="00916F57">
        <w:rPr>
          <w:lang w:val="fr-CA"/>
        </w:rPr>
        <w:t xml:space="preserve">une </w:t>
      </w:r>
      <w:r w:rsidR="00151BCF">
        <w:rPr>
          <w:lang w:val="fr-CA"/>
        </w:rPr>
        <w:t>légère</w:t>
      </w:r>
      <w:r w:rsidR="00EC0752" w:rsidRPr="00916F57">
        <w:rPr>
          <w:lang w:val="fr-CA"/>
        </w:rPr>
        <w:t xml:space="preserve"> élévation au-dessus d</w:t>
      </w:r>
      <w:r w:rsidR="00A810C2">
        <w:rPr>
          <w:lang w:val="fr-CA"/>
        </w:rPr>
        <w:t>e l’</w:t>
      </w:r>
      <w:r w:rsidR="00151BCF">
        <w:rPr>
          <w:lang w:val="fr-CA"/>
        </w:rPr>
        <w:t>arrière-plan</w:t>
      </w:r>
      <w:r w:rsidR="00EC0752" w:rsidRPr="00916F57">
        <w:rPr>
          <w:lang w:val="fr-CA"/>
        </w:rPr>
        <w:t xml:space="preserve"> du panneau, mesurant entre 0,8 et 1,5</w:t>
      </w:r>
      <w:r w:rsidR="003B2C52">
        <w:rPr>
          <w:lang w:val="fr-CA"/>
        </w:rPr>
        <w:t> </w:t>
      </w:r>
      <w:r w:rsidR="00EC0752" w:rsidRPr="00916F57">
        <w:rPr>
          <w:lang w:val="fr-CA"/>
        </w:rPr>
        <w:t>mm, incluant les lettres et les chiffres;</w:t>
      </w:r>
    </w:p>
    <w:p w14:paraId="2DC83FC1" w14:textId="63E8EE11" w:rsidR="00EC0752" w:rsidRPr="00916F57" w:rsidRDefault="00FC2F42" w:rsidP="003F66F0">
      <w:pPr>
        <w:pStyle w:val="ListRef"/>
        <w:numPr>
          <w:ilvl w:val="0"/>
          <w:numId w:val="53"/>
        </w:numPr>
        <w:rPr>
          <w:lang w:val="fr-CA"/>
        </w:rPr>
      </w:pPr>
      <w:proofErr w:type="gramStart"/>
      <w:r>
        <w:rPr>
          <w:lang w:val="fr-CA"/>
        </w:rPr>
        <w:t>avoir</w:t>
      </w:r>
      <w:proofErr w:type="gramEnd"/>
      <w:r>
        <w:rPr>
          <w:lang w:val="fr-CA"/>
        </w:rPr>
        <w:t xml:space="preserve"> une </w:t>
      </w:r>
      <w:r w:rsidR="00EC0752" w:rsidRPr="00916F57">
        <w:rPr>
          <w:lang w:val="fr-CA"/>
        </w:rPr>
        <w:t xml:space="preserve">hauteur </w:t>
      </w:r>
      <w:r>
        <w:rPr>
          <w:lang w:val="fr-CA"/>
        </w:rPr>
        <w:t xml:space="preserve">comprise </w:t>
      </w:r>
      <w:r w:rsidR="00EC0752" w:rsidRPr="00916F57">
        <w:rPr>
          <w:lang w:val="fr-CA"/>
        </w:rPr>
        <w:t>entre 16 et 50</w:t>
      </w:r>
      <w:r w:rsidR="003B2C52">
        <w:rPr>
          <w:lang w:val="fr-CA"/>
        </w:rPr>
        <w:t> </w:t>
      </w:r>
      <w:r w:rsidR="00EC0752" w:rsidRPr="00916F57">
        <w:rPr>
          <w:lang w:val="fr-CA"/>
        </w:rPr>
        <w:t>mm</w:t>
      </w:r>
      <w:r>
        <w:rPr>
          <w:lang w:val="fr-CA"/>
        </w:rPr>
        <w:t xml:space="preserve">, calculée à partir de </w:t>
      </w:r>
      <w:r w:rsidR="00EC0752" w:rsidRPr="00916F57">
        <w:rPr>
          <w:lang w:val="fr-CA"/>
        </w:rPr>
        <w:t>la hauteur de la lettre majuscule « X »;</w:t>
      </w:r>
    </w:p>
    <w:p w14:paraId="76429CA9" w14:textId="4F19544C" w:rsidR="00EC0752" w:rsidRPr="00916F57" w:rsidRDefault="00EC0752" w:rsidP="003F66F0">
      <w:pPr>
        <w:pStyle w:val="ListRef"/>
        <w:numPr>
          <w:ilvl w:val="0"/>
          <w:numId w:val="53"/>
        </w:numPr>
        <w:rPr>
          <w:lang w:val="fr-CA"/>
        </w:rPr>
      </w:pPr>
      <w:proofErr w:type="gramStart"/>
      <w:r w:rsidRPr="00916F57">
        <w:rPr>
          <w:lang w:val="fr-CA"/>
        </w:rPr>
        <w:t>avoir</w:t>
      </w:r>
      <w:proofErr w:type="gramEnd"/>
      <w:r w:rsidRPr="00916F57">
        <w:rPr>
          <w:lang w:val="fr-CA"/>
        </w:rPr>
        <w:t xml:space="preserve"> </w:t>
      </w:r>
      <w:r w:rsidR="0041096C">
        <w:rPr>
          <w:lang w:val="fr-CA"/>
        </w:rPr>
        <w:t>un</w:t>
      </w:r>
      <w:r w:rsidRPr="00916F57">
        <w:rPr>
          <w:lang w:val="fr-CA"/>
        </w:rPr>
        <w:t xml:space="preserve"> espacement entre les lignes de base de lignes</w:t>
      </w:r>
      <w:r w:rsidR="00BF1613">
        <w:rPr>
          <w:lang w:val="fr-CA"/>
        </w:rPr>
        <w:t xml:space="preserve"> </w:t>
      </w:r>
      <w:r w:rsidR="007E1DED">
        <w:rPr>
          <w:lang w:val="fr-CA"/>
        </w:rPr>
        <w:t xml:space="preserve">distinctes </w:t>
      </w:r>
      <w:r w:rsidR="001066EE">
        <w:rPr>
          <w:lang w:val="fr-CA"/>
        </w:rPr>
        <w:t xml:space="preserve">de caractères </w:t>
      </w:r>
      <w:r w:rsidRPr="00916F57">
        <w:rPr>
          <w:lang w:val="fr-CA"/>
        </w:rPr>
        <w:t>dans un message</w:t>
      </w:r>
      <w:r w:rsidR="007E1DED">
        <w:rPr>
          <w:lang w:val="fr-CA"/>
        </w:rPr>
        <w:t>,</w:t>
      </w:r>
      <w:r w:rsidRPr="00916F57">
        <w:rPr>
          <w:lang w:val="fr-CA"/>
        </w:rPr>
        <w:t xml:space="preserve"> allant de 135</w:t>
      </w:r>
      <w:r w:rsidR="00C869CA">
        <w:rPr>
          <w:lang w:val="fr-CA"/>
        </w:rPr>
        <w:t> </w:t>
      </w:r>
      <w:r w:rsidRPr="00916F57">
        <w:rPr>
          <w:lang w:val="fr-CA"/>
        </w:rPr>
        <w:t>% à un maximum de 170</w:t>
      </w:r>
      <w:r w:rsidR="00C869CA">
        <w:rPr>
          <w:lang w:val="fr-CA"/>
        </w:rPr>
        <w:t> </w:t>
      </w:r>
      <w:r w:rsidRPr="00916F57">
        <w:rPr>
          <w:lang w:val="fr-CA"/>
        </w:rPr>
        <w:t>% de la hauteur d</w:t>
      </w:r>
      <w:r w:rsidR="007E1DED">
        <w:rPr>
          <w:lang w:val="fr-CA"/>
        </w:rPr>
        <w:t>es</w:t>
      </w:r>
      <w:r w:rsidRPr="00916F57">
        <w:rPr>
          <w:lang w:val="fr-CA"/>
        </w:rPr>
        <w:t xml:space="preserve"> caractère</w:t>
      </w:r>
      <w:r w:rsidR="007E1DED">
        <w:rPr>
          <w:lang w:val="fr-CA"/>
        </w:rPr>
        <w:t>s</w:t>
      </w:r>
      <w:r w:rsidRPr="00916F57">
        <w:rPr>
          <w:lang w:val="fr-CA"/>
        </w:rPr>
        <w:t>;</w:t>
      </w:r>
    </w:p>
    <w:p w14:paraId="7480FF85" w14:textId="6AC59991" w:rsidR="00EC0752" w:rsidRPr="00877353" w:rsidRDefault="00EC0752" w:rsidP="003F66F0">
      <w:pPr>
        <w:pStyle w:val="ListRef"/>
        <w:numPr>
          <w:ilvl w:val="0"/>
          <w:numId w:val="53"/>
        </w:numPr>
        <w:rPr>
          <w:lang w:val="fr-CA"/>
        </w:rPr>
      </w:pPr>
      <w:proofErr w:type="gramStart"/>
      <w:r w:rsidRPr="00877353">
        <w:rPr>
          <w:lang w:val="fr-CA"/>
        </w:rPr>
        <w:lastRenderedPageBreak/>
        <w:t>avoir</w:t>
      </w:r>
      <w:proofErr w:type="gramEnd"/>
      <w:r w:rsidRPr="00877353">
        <w:rPr>
          <w:lang w:val="fr-CA"/>
        </w:rPr>
        <w:t xml:space="preserve"> un texte sans empattement et utiliser des chiffres arabes, et ne pas être italique, oblique, en écriture, très décorati</w:t>
      </w:r>
      <w:r w:rsidR="00A810C2">
        <w:rPr>
          <w:lang w:val="fr-CA"/>
        </w:rPr>
        <w:t>ve</w:t>
      </w:r>
      <w:r w:rsidRPr="00877353">
        <w:rPr>
          <w:lang w:val="fr-CA"/>
        </w:rPr>
        <w:t xml:space="preserve"> ou affiché</w:t>
      </w:r>
      <w:r w:rsidR="00A810C2">
        <w:rPr>
          <w:lang w:val="fr-CA"/>
        </w:rPr>
        <w:t>e</w:t>
      </w:r>
      <w:r w:rsidRPr="00877353">
        <w:rPr>
          <w:lang w:val="fr-CA"/>
        </w:rPr>
        <w:t xml:space="preserve"> sous d</w:t>
      </w:r>
      <w:r w:rsidR="00AB16E8">
        <w:rPr>
          <w:lang w:val="fr-CA"/>
        </w:rPr>
        <w:t>’</w:t>
      </w:r>
      <w:r w:rsidRPr="00877353">
        <w:rPr>
          <w:lang w:val="fr-CA"/>
        </w:rPr>
        <w:t>autres formes inhabituelles;</w:t>
      </w:r>
    </w:p>
    <w:p w14:paraId="13D78289" w14:textId="0DC6B729" w:rsidR="00EC0752" w:rsidRPr="00EA37B3" w:rsidRDefault="00BB51B2" w:rsidP="003F66F0">
      <w:pPr>
        <w:pStyle w:val="ListRef"/>
        <w:numPr>
          <w:ilvl w:val="0"/>
          <w:numId w:val="53"/>
        </w:numPr>
        <w:rPr>
          <w:lang w:val="fr-CA"/>
        </w:rPr>
      </w:pPr>
      <w:proofErr w:type="gramStart"/>
      <w:r>
        <w:rPr>
          <w:lang w:val="fr-CA"/>
        </w:rPr>
        <w:t>avoir</w:t>
      </w:r>
      <w:proofErr w:type="gramEnd"/>
      <w:r w:rsidR="00EC0752" w:rsidRPr="00EA37B3">
        <w:rPr>
          <w:lang w:val="fr-CA"/>
        </w:rPr>
        <w:t xml:space="preserve"> un rapport largeur/hauteur entre 3:5 et 1:1</w:t>
      </w:r>
      <w:r w:rsidR="00A36AEB">
        <w:rPr>
          <w:lang w:val="fr-CA"/>
        </w:rPr>
        <w:t>;</w:t>
      </w:r>
    </w:p>
    <w:p w14:paraId="4DB786EE" w14:textId="77777777" w:rsidR="00EC0752" w:rsidRPr="00AA0E68" w:rsidRDefault="00EC0752" w:rsidP="003F66F0">
      <w:pPr>
        <w:pStyle w:val="ListRef"/>
        <w:numPr>
          <w:ilvl w:val="0"/>
          <w:numId w:val="53"/>
        </w:numPr>
      </w:pPr>
      <w:proofErr w:type="spellStart"/>
      <w:r w:rsidRPr="00AA0E68">
        <w:t>utiliser</w:t>
      </w:r>
      <w:proofErr w:type="spellEnd"/>
      <w:r w:rsidRPr="00AA0E68">
        <w:t xml:space="preserve"> des </w:t>
      </w:r>
      <w:proofErr w:type="spellStart"/>
      <w:r w:rsidRPr="00AA0E68">
        <w:t>caractères</w:t>
      </w:r>
      <w:proofErr w:type="spellEnd"/>
      <w:r w:rsidRPr="00AA0E68">
        <w:t xml:space="preserve"> </w:t>
      </w:r>
      <w:proofErr w:type="gramStart"/>
      <w:r w:rsidRPr="00AA0E68">
        <w:t>majuscules;</w:t>
      </w:r>
      <w:proofErr w:type="gramEnd"/>
    </w:p>
    <w:p w14:paraId="14C0250A" w14:textId="7C965BA7" w:rsidR="00EC0752" w:rsidRPr="00EA37B3" w:rsidRDefault="00EC0752" w:rsidP="003F66F0">
      <w:pPr>
        <w:pStyle w:val="ListRef"/>
        <w:numPr>
          <w:ilvl w:val="0"/>
          <w:numId w:val="53"/>
        </w:numPr>
        <w:rPr>
          <w:lang w:val="fr-CA"/>
        </w:rPr>
      </w:pPr>
      <w:proofErr w:type="gramStart"/>
      <w:r w:rsidRPr="00EA37B3">
        <w:rPr>
          <w:lang w:val="fr-CA"/>
        </w:rPr>
        <w:t>suiv</w:t>
      </w:r>
      <w:r w:rsidR="00593460">
        <w:rPr>
          <w:lang w:val="fr-CA"/>
        </w:rPr>
        <w:t>re</w:t>
      </w:r>
      <w:proofErr w:type="gramEnd"/>
      <w:r w:rsidRPr="00EA37B3">
        <w:rPr>
          <w:lang w:val="fr-CA"/>
        </w:rPr>
        <w:t xml:space="preserve"> l</w:t>
      </w:r>
      <w:r w:rsidR="00AB16E8">
        <w:rPr>
          <w:lang w:val="fr-CA"/>
        </w:rPr>
        <w:t>’</w:t>
      </w:r>
      <w:r w:rsidRPr="00EA37B3">
        <w:rPr>
          <w:lang w:val="fr-CA"/>
        </w:rPr>
        <w:t>impression pour les caractères en braille et tactile;</w:t>
      </w:r>
    </w:p>
    <w:p w14:paraId="2A59BC89" w14:textId="0E7ED73B" w:rsidR="00EC0752" w:rsidRPr="00EA37B3" w:rsidRDefault="00593460" w:rsidP="003F66F0">
      <w:pPr>
        <w:pStyle w:val="ListRef"/>
        <w:numPr>
          <w:ilvl w:val="0"/>
          <w:numId w:val="53"/>
        </w:numPr>
        <w:rPr>
          <w:lang w:val="fr-CA"/>
        </w:rPr>
      </w:pPr>
      <w:proofErr w:type="gramStart"/>
      <w:r>
        <w:rPr>
          <w:lang w:val="fr-CA"/>
        </w:rPr>
        <w:t>avoir</w:t>
      </w:r>
      <w:proofErr w:type="gramEnd"/>
      <w:r w:rsidR="00EC0752" w:rsidRPr="00EA37B3">
        <w:rPr>
          <w:lang w:val="fr-CA"/>
        </w:rPr>
        <w:t xml:space="preserve"> des bords légèrement arrondis pour le texte; et</w:t>
      </w:r>
    </w:p>
    <w:p w14:paraId="4FA2ADAF" w14:textId="52D19858" w:rsidR="00EC0752" w:rsidRPr="00EA37B3" w:rsidRDefault="00EC0752" w:rsidP="003F66F0">
      <w:pPr>
        <w:pStyle w:val="ListRef"/>
        <w:numPr>
          <w:ilvl w:val="0"/>
          <w:numId w:val="53"/>
        </w:numPr>
        <w:rPr>
          <w:lang w:val="fr-CA"/>
        </w:rPr>
      </w:pPr>
      <w:proofErr w:type="gramStart"/>
      <w:r w:rsidRPr="00EA37B3">
        <w:rPr>
          <w:lang w:val="fr-CA"/>
        </w:rPr>
        <w:t>être</w:t>
      </w:r>
      <w:proofErr w:type="gramEnd"/>
      <w:r w:rsidRPr="00EA37B3">
        <w:rPr>
          <w:lang w:val="fr-CA"/>
        </w:rPr>
        <w:t xml:space="preserve"> accompagné</w:t>
      </w:r>
      <w:r w:rsidR="00286D93">
        <w:rPr>
          <w:lang w:val="fr-CA"/>
        </w:rPr>
        <w:t>s</w:t>
      </w:r>
      <w:r w:rsidRPr="00EA37B3">
        <w:rPr>
          <w:lang w:val="fr-CA"/>
        </w:rPr>
        <w:t xml:space="preserve"> d</w:t>
      </w:r>
      <w:r w:rsidR="00AB16E8">
        <w:rPr>
          <w:lang w:val="fr-CA"/>
        </w:rPr>
        <w:t>’</w:t>
      </w:r>
      <w:r w:rsidRPr="00EA37B3">
        <w:rPr>
          <w:lang w:val="fr-CA"/>
        </w:rPr>
        <w:t xml:space="preserve">une description équivalente en braille pour tous les caractères de texte en relief, pictogrammes ou symboles, y compris les flèches sur les </w:t>
      </w:r>
      <w:r w:rsidR="00BC30C3">
        <w:rPr>
          <w:lang w:val="fr-CA"/>
        </w:rPr>
        <w:t xml:space="preserve">panneaux </w:t>
      </w:r>
      <w:r w:rsidRPr="00EA37B3">
        <w:rPr>
          <w:lang w:val="fr-CA"/>
        </w:rPr>
        <w:t>directionnels.</w:t>
      </w:r>
    </w:p>
    <w:p w14:paraId="389C2392" w14:textId="480BBA99" w:rsidR="00EC0752" w:rsidRDefault="00B62881" w:rsidP="00B62881">
      <w:pPr>
        <w:pStyle w:val="Heading2"/>
      </w:pPr>
      <w:bookmarkStart w:id="651" w:name="_Toc219706234"/>
      <w:r>
        <w:t>Braille</w:t>
      </w:r>
      <w:bookmarkEnd w:id="651"/>
    </w:p>
    <w:p w14:paraId="36E455F7" w14:textId="32BB6A5C" w:rsidR="00B62881" w:rsidRPr="00877353" w:rsidRDefault="00B62881" w:rsidP="00B62881">
      <w:pPr>
        <w:rPr>
          <w:lang w:val="fr-CA"/>
        </w:rPr>
      </w:pPr>
      <w:r w:rsidRPr="00877353">
        <w:rPr>
          <w:lang w:val="fr-CA"/>
        </w:rPr>
        <w:t xml:space="preserve">Il existe plusieurs </w:t>
      </w:r>
      <w:r w:rsidR="00C335EE">
        <w:rPr>
          <w:lang w:val="fr-CA"/>
        </w:rPr>
        <w:t>panneaux</w:t>
      </w:r>
      <w:r w:rsidRPr="00877353">
        <w:rPr>
          <w:lang w:val="fr-CA"/>
        </w:rPr>
        <w:t xml:space="preserve"> qui exigent le braille. Cela inclut des panneaux d</w:t>
      </w:r>
      <w:r w:rsidR="00AB16E8">
        <w:rPr>
          <w:lang w:val="fr-CA"/>
        </w:rPr>
        <w:t>’</w:t>
      </w:r>
      <w:r w:rsidRPr="00877353">
        <w:rPr>
          <w:lang w:val="fr-CA"/>
        </w:rPr>
        <w:t>orientation, comme des annuaires; des panneaux directionnels, comme des panneaux muraux avec des flèches, et des panneaux d</w:t>
      </w:r>
      <w:r w:rsidR="00AB16E8">
        <w:rPr>
          <w:lang w:val="fr-CA"/>
        </w:rPr>
        <w:t>’</w:t>
      </w:r>
      <w:r w:rsidRPr="00877353">
        <w:rPr>
          <w:lang w:val="fr-CA"/>
        </w:rPr>
        <w:t>identification, comme des panneaux de salle de bain.</w:t>
      </w:r>
    </w:p>
    <w:p w14:paraId="70C2B979" w14:textId="3C5729AA" w:rsidR="00B62881" w:rsidRDefault="00B62881" w:rsidP="00B62881">
      <w:r>
        <w:t xml:space="preserve">Le braille </w:t>
      </w:r>
      <w:proofErr w:type="gramStart"/>
      <w:r>
        <w:t>doit</w:t>
      </w:r>
      <w:r w:rsidR="001C5600">
        <w:t> </w:t>
      </w:r>
      <w:r>
        <w:t>:</w:t>
      </w:r>
      <w:proofErr w:type="gramEnd"/>
    </w:p>
    <w:p w14:paraId="79524180" w14:textId="2E014EBB" w:rsidR="00B62881" w:rsidRPr="00241975" w:rsidRDefault="00B62881" w:rsidP="003F66F0">
      <w:pPr>
        <w:pStyle w:val="ListRef"/>
        <w:numPr>
          <w:ilvl w:val="0"/>
          <w:numId w:val="54"/>
        </w:numPr>
        <w:rPr>
          <w:lang w:val="fr-CA"/>
        </w:rPr>
      </w:pPr>
      <w:proofErr w:type="gramStart"/>
      <w:r w:rsidRPr="00241975">
        <w:rPr>
          <w:lang w:val="fr-CA"/>
        </w:rPr>
        <w:t>être</w:t>
      </w:r>
      <w:proofErr w:type="gramEnd"/>
      <w:r w:rsidRPr="00241975">
        <w:rPr>
          <w:lang w:val="fr-CA"/>
        </w:rPr>
        <w:t xml:space="preserve"> le braille </w:t>
      </w:r>
      <w:r w:rsidR="005C0786">
        <w:rPr>
          <w:lang w:val="fr-CA"/>
        </w:rPr>
        <w:t>« </w:t>
      </w:r>
      <w:proofErr w:type="spellStart"/>
      <w:r w:rsidR="005C0786">
        <w:rPr>
          <w:lang w:val="fr-CA"/>
        </w:rPr>
        <w:t>Unified</w:t>
      </w:r>
      <w:proofErr w:type="spellEnd"/>
      <w:r w:rsidR="005C0786">
        <w:rPr>
          <w:lang w:val="fr-CA"/>
        </w:rPr>
        <w:t xml:space="preserve"> English Braille »</w:t>
      </w:r>
      <w:r w:rsidRPr="00241975">
        <w:rPr>
          <w:lang w:val="fr-CA"/>
        </w:rPr>
        <w:t xml:space="preserve"> (UEB) pour le texte anglais;</w:t>
      </w:r>
    </w:p>
    <w:p w14:paraId="63A7D717" w14:textId="77777777" w:rsidR="00B62881" w:rsidRPr="00241975" w:rsidRDefault="00B62881" w:rsidP="003F66F0">
      <w:pPr>
        <w:pStyle w:val="ListRef"/>
        <w:numPr>
          <w:ilvl w:val="0"/>
          <w:numId w:val="54"/>
        </w:numPr>
        <w:rPr>
          <w:lang w:val="fr-CA"/>
        </w:rPr>
      </w:pPr>
      <w:proofErr w:type="gramStart"/>
      <w:r w:rsidRPr="00241975">
        <w:rPr>
          <w:lang w:val="fr-CA"/>
        </w:rPr>
        <w:t>être</w:t>
      </w:r>
      <w:proofErr w:type="gramEnd"/>
      <w:r w:rsidRPr="00241975">
        <w:rPr>
          <w:lang w:val="fr-CA"/>
        </w:rPr>
        <w:t xml:space="preserve"> le code braille français uniformisé pour le texte français;</w:t>
      </w:r>
    </w:p>
    <w:p w14:paraId="12661286" w14:textId="470F5271" w:rsidR="00B62881" w:rsidRPr="00241975" w:rsidRDefault="00B62881" w:rsidP="003F66F0">
      <w:pPr>
        <w:numPr>
          <w:ilvl w:val="0"/>
          <w:numId w:val="54"/>
        </w:numPr>
        <w:rPr>
          <w:lang w:val="fr-CA"/>
        </w:rPr>
      </w:pPr>
      <w:proofErr w:type="gramStart"/>
      <w:r w:rsidRPr="00241975">
        <w:rPr>
          <w:lang w:val="fr-CA"/>
        </w:rPr>
        <w:t>accompagner</w:t>
      </w:r>
      <w:proofErr w:type="gramEnd"/>
      <w:r w:rsidRPr="00241975">
        <w:rPr>
          <w:lang w:val="fr-CA"/>
        </w:rPr>
        <w:t xml:space="preserve"> chaque langue sur des</w:t>
      </w:r>
      <w:r w:rsidR="00241975">
        <w:rPr>
          <w:lang w:val="fr-CA"/>
        </w:rPr>
        <w:t xml:space="preserve"> panneaux</w:t>
      </w:r>
      <w:r w:rsidRPr="00241975">
        <w:rPr>
          <w:lang w:val="fr-CA"/>
        </w:rPr>
        <w:t xml:space="preserve"> bilingues et trilingues, assurant que le braille correspondant est fourni pour chaque langue;</w:t>
      </w:r>
    </w:p>
    <w:p w14:paraId="6F152073" w14:textId="7639183B" w:rsidR="00B62881" w:rsidRPr="00241975" w:rsidRDefault="00241975" w:rsidP="00B62881">
      <w:pPr>
        <w:ind w:left="1066"/>
        <w:rPr>
          <w:lang w:val="fr-CA"/>
        </w:rPr>
      </w:pPr>
      <w:r>
        <w:rPr>
          <w:rStyle w:val="EmphasisUseSparingly"/>
          <w:lang w:val="fr-CA"/>
        </w:rPr>
        <w:t>Remarque</w:t>
      </w:r>
      <w:r w:rsidR="001C5600">
        <w:rPr>
          <w:rStyle w:val="EmphasisUseSparingly"/>
          <w:lang w:val="fr-CA"/>
        </w:rPr>
        <w:t> </w:t>
      </w:r>
      <w:r w:rsidR="00B62881" w:rsidRPr="00241975">
        <w:rPr>
          <w:rStyle w:val="EmphasisUseSparingly"/>
          <w:lang w:val="fr-CA"/>
        </w:rPr>
        <w:t>:</w:t>
      </w:r>
      <w:r w:rsidR="00B62881" w:rsidRPr="00241975">
        <w:rPr>
          <w:lang w:val="fr-CA"/>
        </w:rPr>
        <w:t xml:space="preserve"> Pour plus d</w:t>
      </w:r>
      <w:r w:rsidR="00AB16E8">
        <w:rPr>
          <w:lang w:val="fr-CA"/>
        </w:rPr>
        <w:t>’</w:t>
      </w:r>
      <w:r w:rsidR="00B62881" w:rsidRPr="00241975">
        <w:rPr>
          <w:lang w:val="fr-CA"/>
        </w:rPr>
        <w:t xml:space="preserve">informations, consultez </w:t>
      </w:r>
      <w:r w:rsidR="001C28B0">
        <w:rPr>
          <w:lang w:val="fr-CA"/>
        </w:rPr>
        <w:t xml:space="preserve">« Accessible </w:t>
      </w:r>
      <w:proofErr w:type="spellStart"/>
      <w:r w:rsidR="001C28B0">
        <w:rPr>
          <w:lang w:val="fr-CA"/>
        </w:rPr>
        <w:t>Signage</w:t>
      </w:r>
      <w:proofErr w:type="spellEnd"/>
      <w:r w:rsidR="001C28B0">
        <w:rPr>
          <w:lang w:val="fr-CA"/>
        </w:rPr>
        <w:t xml:space="preserve"> Guidelines</w:t>
      </w:r>
      <w:r w:rsidR="00D27B39">
        <w:rPr>
          <w:lang w:val="fr-CA"/>
        </w:rPr>
        <w:t> » par</w:t>
      </w:r>
      <w:r w:rsidR="006A4896">
        <w:rPr>
          <w:lang w:val="fr-CA"/>
        </w:rPr>
        <w:t xml:space="preserve"> </w:t>
      </w:r>
      <w:r w:rsidR="00F95B7D">
        <w:rPr>
          <w:lang w:val="fr-CA"/>
        </w:rPr>
        <w:t>L</w:t>
      </w:r>
      <w:r w:rsidR="006A4896">
        <w:rPr>
          <w:lang w:val="fr-CA"/>
        </w:rPr>
        <w:t>ittératie braille Canada</w:t>
      </w:r>
      <w:r w:rsidR="00D27B39">
        <w:rPr>
          <w:lang w:val="fr-CA"/>
        </w:rPr>
        <w:t xml:space="preserve"> (en anglais seulement)</w:t>
      </w:r>
      <w:r w:rsidR="00B62881" w:rsidRPr="00241975">
        <w:rPr>
          <w:lang w:val="fr-CA"/>
        </w:rPr>
        <w:t>.</w:t>
      </w:r>
    </w:p>
    <w:p w14:paraId="188ADED4" w14:textId="1C73F85F" w:rsidR="00B62881" w:rsidRPr="00241975" w:rsidRDefault="00B62881" w:rsidP="003F66F0">
      <w:pPr>
        <w:pStyle w:val="ListRef"/>
        <w:numPr>
          <w:ilvl w:val="0"/>
          <w:numId w:val="54"/>
        </w:numPr>
        <w:rPr>
          <w:lang w:val="fr-CA"/>
        </w:rPr>
      </w:pPr>
      <w:bookmarkStart w:id="652" w:name="_Hlk174644791"/>
      <w:proofErr w:type="gramStart"/>
      <w:r w:rsidRPr="00241975">
        <w:rPr>
          <w:lang w:val="fr-CA"/>
        </w:rPr>
        <w:lastRenderedPageBreak/>
        <w:t>être</w:t>
      </w:r>
      <w:proofErr w:type="gramEnd"/>
      <w:r w:rsidRPr="00241975">
        <w:rPr>
          <w:lang w:val="fr-CA"/>
        </w:rPr>
        <w:t xml:space="preserve"> inclus sur tous les panneaux permanents installés sur une portée latérale ou frontale, avec des </w:t>
      </w:r>
      <w:r w:rsidR="002373BB">
        <w:rPr>
          <w:lang w:val="fr-CA"/>
        </w:rPr>
        <w:t>lettre</w:t>
      </w:r>
      <w:r w:rsidRPr="00241975">
        <w:rPr>
          <w:lang w:val="fr-CA"/>
        </w:rPr>
        <w:t>s tactiles;</w:t>
      </w:r>
    </w:p>
    <w:p w14:paraId="22933905" w14:textId="5722A473" w:rsidR="00B62881" w:rsidRPr="00241975" w:rsidRDefault="00B62881" w:rsidP="003F66F0">
      <w:pPr>
        <w:pStyle w:val="ListRef"/>
        <w:numPr>
          <w:ilvl w:val="1"/>
          <w:numId w:val="54"/>
        </w:numPr>
        <w:rPr>
          <w:lang w:val="fr-CA"/>
        </w:rPr>
      </w:pPr>
      <w:r w:rsidRPr="00241975">
        <w:rPr>
          <w:lang w:val="fr-CA"/>
        </w:rPr>
        <w:t>Le braille non contracté doit correspondre directement aux lettres tactiles</w:t>
      </w:r>
      <w:r w:rsidR="00D30CBF">
        <w:rPr>
          <w:lang w:val="fr-CA"/>
        </w:rPr>
        <w:t>;</w:t>
      </w:r>
    </w:p>
    <w:bookmarkEnd w:id="652"/>
    <w:p w14:paraId="04FF2BAB" w14:textId="0369C7E4" w:rsidR="00B62881" w:rsidRPr="00241975" w:rsidRDefault="00B62881" w:rsidP="003F66F0">
      <w:pPr>
        <w:pStyle w:val="ListRef"/>
        <w:numPr>
          <w:ilvl w:val="0"/>
          <w:numId w:val="54"/>
        </w:numPr>
        <w:rPr>
          <w:lang w:val="fr-CA"/>
        </w:rPr>
      </w:pPr>
      <w:proofErr w:type="gramStart"/>
      <w:r w:rsidRPr="00241975">
        <w:rPr>
          <w:lang w:val="fr-CA"/>
        </w:rPr>
        <w:t>être</w:t>
      </w:r>
      <w:proofErr w:type="gramEnd"/>
      <w:r w:rsidRPr="00241975">
        <w:rPr>
          <w:lang w:val="fr-CA"/>
        </w:rPr>
        <w:t xml:space="preserve"> non contracté sur des </w:t>
      </w:r>
      <w:r w:rsidR="006870F8">
        <w:rPr>
          <w:lang w:val="fr-CA"/>
        </w:rPr>
        <w:t>panneaux</w:t>
      </w:r>
      <w:r w:rsidRPr="00241975">
        <w:rPr>
          <w:lang w:val="fr-CA"/>
        </w:rPr>
        <w:t xml:space="preserve"> contenant 10</w:t>
      </w:r>
      <w:r w:rsidR="003B2C52">
        <w:rPr>
          <w:lang w:val="fr-CA"/>
        </w:rPr>
        <w:t> </w:t>
      </w:r>
      <w:r w:rsidRPr="00241975">
        <w:rPr>
          <w:lang w:val="fr-CA"/>
        </w:rPr>
        <w:t>mots ou moins;</w:t>
      </w:r>
    </w:p>
    <w:p w14:paraId="4C3AF119" w14:textId="30C0535A" w:rsidR="00B62881" w:rsidRPr="00241975" w:rsidRDefault="00B62881" w:rsidP="003F66F0">
      <w:pPr>
        <w:pStyle w:val="ListRef"/>
        <w:numPr>
          <w:ilvl w:val="0"/>
          <w:numId w:val="54"/>
        </w:numPr>
        <w:rPr>
          <w:lang w:val="fr-CA"/>
        </w:rPr>
      </w:pPr>
      <w:proofErr w:type="gramStart"/>
      <w:r w:rsidRPr="00241975">
        <w:rPr>
          <w:lang w:val="fr-CA"/>
        </w:rPr>
        <w:t>être</w:t>
      </w:r>
      <w:proofErr w:type="gramEnd"/>
      <w:r w:rsidRPr="00241975">
        <w:rPr>
          <w:lang w:val="fr-CA"/>
        </w:rPr>
        <w:t xml:space="preserve"> contracté sur des </w:t>
      </w:r>
      <w:r w:rsidR="006870F8">
        <w:rPr>
          <w:lang w:val="fr-CA"/>
        </w:rPr>
        <w:t>panneaux</w:t>
      </w:r>
      <w:r w:rsidRPr="00241975">
        <w:rPr>
          <w:lang w:val="fr-CA"/>
        </w:rPr>
        <w:t xml:space="preserve"> contenant 10</w:t>
      </w:r>
      <w:r w:rsidR="003B2C52">
        <w:rPr>
          <w:lang w:val="fr-CA"/>
        </w:rPr>
        <w:t> </w:t>
      </w:r>
      <w:r w:rsidRPr="00241975">
        <w:rPr>
          <w:lang w:val="fr-CA"/>
        </w:rPr>
        <w:t>mots ou plus;</w:t>
      </w:r>
    </w:p>
    <w:p w14:paraId="0C402BD8" w14:textId="2304BF2D" w:rsidR="00B62881" w:rsidRPr="00241975" w:rsidRDefault="00B62881" w:rsidP="003F66F0">
      <w:pPr>
        <w:pStyle w:val="ListRef"/>
        <w:numPr>
          <w:ilvl w:val="0"/>
          <w:numId w:val="54"/>
        </w:numPr>
        <w:rPr>
          <w:lang w:val="fr-CA"/>
        </w:rPr>
      </w:pPr>
      <w:proofErr w:type="gramStart"/>
      <w:r w:rsidRPr="00241975">
        <w:rPr>
          <w:lang w:val="fr-CA"/>
        </w:rPr>
        <w:t>avoir</w:t>
      </w:r>
      <w:proofErr w:type="gramEnd"/>
      <w:r w:rsidRPr="00241975">
        <w:rPr>
          <w:lang w:val="fr-CA"/>
        </w:rPr>
        <w:t xml:space="preserve"> des points braille placés directement sous le texte correspondant;</w:t>
      </w:r>
    </w:p>
    <w:p w14:paraId="14DEB631" w14:textId="2A09EDB4" w:rsidR="00B62881" w:rsidRPr="00241975" w:rsidRDefault="00B62881" w:rsidP="003F66F0">
      <w:pPr>
        <w:pStyle w:val="ListRef"/>
        <w:numPr>
          <w:ilvl w:val="0"/>
          <w:numId w:val="54"/>
        </w:numPr>
        <w:rPr>
          <w:lang w:val="fr-CA"/>
        </w:rPr>
      </w:pPr>
      <w:proofErr w:type="gramStart"/>
      <w:r w:rsidRPr="00241975">
        <w:rPr>
          <w:lang w:val="fr-CA"/>
        </w:rPr>
        <w:t>être</w:t>
      </w:r>
      <w:proofErr w:type="gramEnd"/>
      <w:r w:rsidRPr="00241975">
        <w:rPr>
          <w:lang w:val="fr-CA"/>
        </w:rPr>
        <w:t xml:space="preserve"> placé sous l</w:t>
      </w:r>
      <w:r w:rsidR="00AB16E8">
        <w:rPr>
          <w:lang w:val="fr-CA"/>
        </w:rPr>
        <w:t>’</w:t>
      </w:r>
      <w:r w:rsidRPr="00241975">
        <w:rPr>
          <w:lang w:val="fr-CA"/>
        </w:rPr>
        <w:t>intégralité du texte d</w:t>
      </w:r>
      <w:r w:rsidR="00AB16E8">
        <w:rPr>
          <w:lang w:val="fr-CA"/>
        </w:rPr>
        <w:t>’</w:t>
      </w:r>
      <w:r w:rsidRPr="00241975">
        <w:rPr>
          <w:lang w:val="fr-CA"/>
        </w:rPr>
        <w:t>une même langue pour le texte à plusieurs lignes; et</w:t>
      </w:r>
    </w:p>
    <w:p w14:paraId="3F003C89" w14:textId="3989999B" w:rsidR="00B62881" w:rsidRPr="00241975" w:rsidRDefault="00C8360A" w:rsidP="003F66F0">
      <w:pPr>
        <w:pStyle w:val="ListRef"/>
        <w:numPr>
          <w:ilvl w:val="0"/>
          <w:numId w:val="54"/>
        </w:numPr>
        <w:rPr>
          <w:lang w:val="fr-CA"/>
        </w:rPr>
      </w:pPr>
      <w:proofErr w:type="gramStart"/>
      <w:r>
        <w:rPr>
          <w:lang w:val="fr-CA"/>
        </w:rPr>
        <w:t>u</w:t>
      </w:r>
      <w:r w:rsidR="00B62881" w:rsidRPr="00241975">
        <w:rPr>
          <w:lang w:val="fr-CA"/>
        </w:rPr>
        <w:t>tilise</w:t>
      </w:r>
      <w:r>
        <w:rPr>
          <w:lang w:val="fr-CA"/>
        </w:rPr>
        <w:t>r</w:t>
      </w:r>
      <w:proofErr w:type="gramEnd"/>
      <w:r w:rsidR="00B62881" w:rsidRPr="00241975">
        <w:rPr>
          <w:lang w:val="fr-CA"/>
        </w:rPr>
        <w:t xml:space="preserve"> un matériau durable et lisse.</w:t>
      </w:r>
    </w:p>
    <w:p w14:paraId="071F193B" w14:textId="280252FC" w:rsidR="00B62881" w:rsidRPr="00241975" w:rsidRDefault="00AD22CA" w:rsidP="00B62881">
      <w:pPr>
        <w:pStyle w:val="ListRef"/>
        <w:ind w:left="0" w:firstLine="0"/>
        <w:rPr>
          <w:lang w:val="fr-CA"/>
        </w:rPr>
      </w:pPr>
      <w:r>
        <w:rPr>
          <w:rStyle w:val="EmphasisUseSparingly"/>
          <w:lang w:val="fr-CA"/>
        </w:rPr>
        <w:t>Remarque</w:t>
      </w:r>
      <w:r w:rsidR="001C5600">
        <w:rPr>
          <w:rStyle w:val="EmphasisUseSparingly"/>
          <w:lang w:val="fr-CA"/>
        </w:rPr>
        <w:t> </w:t>
      </w:r>
      <w:r w:rsidR="00B62881" w:rsidRPr="00241975">
        <w:rPr>
          <w:rStyle w:val="EmphasisUseSparingly"/>
          <w:lang w:val="fr-CA"/>
        </w:rPr>
        <w:t>:</w:t>
      </w:r>
      <w:r w:rsidR="00B62881" w:rsidRPr="00241975">
        <w:rPr>
          <w:lang w:val="fr-CA"/>
        </w:rPr>
        <w:t xml:space="preserve"> Un mauvais </w:t>
      </w:r>
      <w:r w:rsidR="00713819">
        <w:rPr>
          <w:lang w:val="fr-CA"/>
        </w:rPr>
        <w:t>matériel</w:t>
      </w:r>
      <w:r w:rsidR="00B62881" w:rsidRPr="00241975">
        <w:rPr>
          <w:lang w:val="fr-CA"/>
        </w:rPr>
        <w:t xml:space="preserve"> peut entraîner l</w:t>
      </w:r>
      <w:r w:rsidR="00AB16E8">
        <w:rPr>
          <w:lang w:val="fr-CA"/>
        </w:rPr>
        <w:t>’</w:t>
      </w:r>
      <w:r w:rsidR="00B62881" w:rsidRPr="00241975">
        <w:rPr>
          <w:lang w:val="fr-CA"/>
        </w:rPr>
        <w:t xml:space="preserve">usure des points, </w:t>
      </w:r>
      <w:r w:rsidR="00745E3A">
        <w:rPr>
          <w:lang w:val="fr-CA"/>
        </w:rPr>
        <w:t>modifier</w:t>
      </w:r>
      <w:r w:rsidR="00CA6A17">
        <w:rPr>
          <w:lang w:val="fr-CA"/>
        </w:rPr>
        <w:t xml:space="preserve"> </w:t>
      </w:r>
      <w:r w:rsidR="00B62881" w:rsidRPr="00241975">
        <w:rPr>
          <w:lang w:val="fr-CA"/>
        </w:rPr>
        <w:t xml:space="preserve">les lettres et </w:t>
      </w:r>
      <w:r w:rsidR="00372A64">
        <w:rPr>
          <w:lang w:val="fr-CA"/>
        </w:rPr>
        <w:t>nuire au</w:t>
      </w:r>
      <w:r w:rsidR="00B62881" w:rsidRPr="00241975">
        <w:rPr>
          <w:lang w:val="fr-CA"/>
        </w:rPr>
        <w:t xml:space="preserve"> sens du message en braille.</w:t>
      </w:r>
    </w:p>
    <w:p w14:paraId="453900E6" w14:textId="1E346CE3" w:rsidR="00B62881" w:rsidRDefault="00C97783" w:rsidP="00C97783">
      <w:pPr>
        <w:pStyle w:val="Heading3"/>
      </w:pPr>
      <w:bookmarkStart w:id="653" w:name="_Toc219706235"/>
      <w:r>
        <w:t>Points braille</w:t>
      </w:r>
      <w:bookmarkEnd w:id="653"/>
    </w:p>
    <w:p w14:paraId="1A2FDA75" w14:textId="26C2CB9A" w:rsidR="00C97783" w:rsidRPr="003E144D" w:rsidRDefault="00C97783" w:rsidP="00C97783">
      <w:r>
        <w:t xml:space="preserve">Le braille </w:t>
      </w:r>
      <w:proofErr w:type="gramStart"/>
      <w:r>
        <w:t>doit</w:t>
      </w:r>
      <w:r w:rsidR="001C5600">
        <w:t> </w:t>
      </w:r>
      <w:r>
        <w:t>:</w:t>
      </w:r>
      <w:proofErr w:type="gramEnd"/>
    </w:p>
    <w:p w14:paraId="38DC697C" w14:textId="6857FA6D" w:rsidR="00C97783" w:rsidRPr="00655859" w:rsidRDefault="00C97783" w:rsidP="003F66F0">
      <w:pPr>
        <w:pStyle w:val="ListRef"/>
        <w:numPr>
          <w:ilvl w:val="0"/>
          <w:numId w:val="55"/>
        </w:numPr>
        <w:rPr>
          <w:lang w:val="fr-CA"/>
        </w:rPr>
      </w:pPr>
      <w:proofErr w:type="gramStart"/>
      <w:r w:rsidRPr="00655859">
        <w:rPr>
          <w:lang w:val="fr-CA"/>
        </w:rPr>
        <w:t>avoir</w:t>
      </w:r>
      <w:proofErr w:type="gramEnd"/>
      <w:r w:rsidRPr="00655859">
        <w:rPr>
          <w:lang w:val="fr-CA"/>
        </w:rPr>
        <w:t xml:space="preserve"> des points en forme de dôme et fournir</w:t>
      </w:r>
      <w:r w:rsidR="001C5600">
        <w:rPr>
          <w:lang w:val="fr-CA"/>
        </w:rPr>
        <w:t> </w:t>
      </w:r>
      <w:r w:rsidRPr="00655859">
        <w:rPr>
          <w:lang w:val="fr-CA"/>
        </w:rPr>
        <w:t>:</w:t>
      </w:r>
    </w:p>
    <w:p w14:paraId="7AC78F9D" w14:textId="4D9CF0A3" w:rsidR="00C97783" w:rsidRPr="00655859" w:rsidRDefault="00655859" w:rsidP="003F66F0">
      <w:pPr>
        <w:pStyle w:val="ListRef"/>
        <w:numPr>
          <w:ilvl w:val="1"/>
          <w:numId w:val="55"/>
        </w:numPr>
        <w:rPr>
          <w:lang w:val="fr-CA"/>
        </w:rPr>
      </w:pPr>
      <w:proofErr w:type="gramStart"/>
      <w:r>
        <w:rPr>
          <w:lang w:val="fr-CA"/>
        </w:rPr>
        <w:t>u</w:t>
      </w:r>
      <w:r w:rsidR="00C97783" w:rsidRPr="00655859">
        <w:rPr>
          <w:lang w:val="fr-CA"/>
        </w:rPr>
        <w:t>n</w:t>
      </w:r>
      <w:proofErr w:type="gramEnd"/>
      <w:r w:rsidR="00C97783" w:rsidRPr="00655859">
        <w:rPr>
          <w:lang w:val="fr-CA"/>
        </w:rPr>
        <w:t xml:space="preserve"> diamètre de base </w:t>
      </w:r>
      <w:r w:rsidR="001408F5">
        <w:rPr>
          <w:lang w:val="fr-CA"/>
        </w:rPr>
        <w:t>de</w:t>
      </w:r>
      <w:r w:rsidR="00C97783" w:rsidRPr="00655859">
        <w:rPr>
          <w:lang w:val="fr-CA"/>
        </w:rPr>
        <w:t xml:space="preserve"> point</w:t>
      </w:r>
      <w:r w:rsidR="001408F5">
        <w:rPr>
          <w:lang w:val="fr-CA"/>
        </w:rPr>
        <w:t>s</w:t>
      </w:r>
      <w:r w:rsidR="00C97783" w:rsidRPr="00655859">
        <w:rPr>
          <w:lang w:val="fr-CA"/>
        </w:rPr>
        <w:t xml:space="preserve"> allant de 1,5</w:t>
      </w:r>
      <w:r w:rsidR="003B2C52">
        <w:rPr>
          <w:lang w:val="fr-CA"/>
        </w:rPr>
        <w:t> </w:t>
      </w:r>
      <w:r w:rsidR="00C97783" w:rsidRPr="00655859">
        <w:rPr>
          <w:lang w:val="fr-CA"/>
        </w:rPr>
        <w:t>mm à 1,6</w:t>
      </w:r>
      <w:r w:rsidR="003B2C52">
        <w:rPr>
          <w:lang w:val="fr-CA"/>
        </w:rPr>
        <w:t> </w:t>
      </w:r>
      <w:r w:rsidR="00C97783" w:rsidRPr="00655859">
        <w:rPr>
          <w:lang w:val="fr-CA"/>
        </w:rPr>
        <w:t>mm;</w:t>
      </w:r>
    </w:p>
    <w:p w14:paraId="54DD6482" w14:textId="4F5AE833" w:rsidR="00C97783" w:rsidRPr="00655859" w:rsidRDefault="001408F5" w:rsidP="003F66F0">
      <w:pPr>
        <w:pStyle w:val="ListRef"/>
        <w:numPr>
          <w:ilvl w:val="1"/>
          <w:numId w:val="55"/>
        </w:numPr>
        <w:rPr>
          <w:lang w:val="fr-CA"/>
        </w:rPr>
      </w:pPr>
      <w:proofErr w:type="gramStart"/>
      <w:r>
        <w:rPr>
          <w:lang w:val="fr-CA"/>
        </w:rPr>
        <w:t>u</w:t>
      </w:r>
      <w:r w:rsidR="00C97783" w:rsidRPr="00655859">
        <w:rPr>
          <w:lang w:val="fr-CA"/>
        </w:rPr>
        <w:t>ne</w:t>
      </w:r>
      <w:proofErr w:type="gramEnd"/>
      <w:r w:rsidR="00C97783" w:rsidRPr="00655859">
        <w:rPr>
          <w:lang w:val="fr-CA"/>
        </w:rPr>
        <w:t xml:space="preserve"> distance entre deux points dans la même cellule de 2,3</w:t>
      </w:r>
      <w:r w:rsidR="003B2C52">
        <w:rPr>
          <w:lang w:val="fr-CA"/>
        </w:rPr>
        <w:t> </w:t>
      </w:r>
      <w:r w:rsidR="00C97783" w:rsidRPr="00655859">
        <w:rPr>
          <w:lang w:val="fr-CA"/>
        </w:rPr>
        <w:t>mm à 2,5</w:t>
      </w:r>
      <w:r w:rsidR="003B2C52">
        <w:rPr>
          <w:lang w:val="fr-CA"/>
        </w:rPr>
        <w:t> </w:t>
      </w:r>
      <w:r w:rsidR="00C97783" w:rsidRPr="00655859">
        <w:rPr>
          <w:lang w:val="fr-CA"/>
        </w:rPr>
        <w:t>mm;</w:t>
      </w:r>
    </w:p>
    <w:p w14:paraId="4C65AD69" w14:textId="00F05606" w:rsidR="00C97783" w:rsidRPr="00655859" w:rsidRDefault="00621F69" w:rsidP="003F66F0">
      <w:pPr>
        <w:pStyle w:val="ListRef"/>
        <w:numPr>
          <w:ilvl w:val="1"/>
          <w:numId w:val="55"/>
        </w:numPr>
        <w:rPr>
          <w:lang w:val="fr-CA"/>
        </w:rPr>
      </w:pPr>
      <w:proofErr w:type="gramStart"/>
      <w:r>
        <w:rPr>
          <w:lang w:val="fr-CA"/>
        </w:rPr>
        <w:t>u</w:t>
      </w:r>
      <w:r w:rsidR="00C97783" w:rsidRPr="00655859">
        <w:rPr>
          <w:lang w:val="fr-CA"/>
        </w:rPr>
        <w:t>ne</w:t>
      </w:r>
      <w:proofErr w:type="gramEnd"/>
      <w:r w:rsidR="00C97783" w:rsidRPr="00655859">
        <w:rPr>
          <w:lang w:val="fr-CA"/>
        </w:rPr>
        <w:t xml:space="preserve"> distance entre les points correspondants dans les cellules adjacentes de 6,1</w:t>
      </w:r>
      <w:r w:rsidR="003B2C52">
        <w:rPr>
          <w:lang w:val="fr-CA"/>
        </w:rPr>
        <w:t> </w:t>
      </w:r>
      <w:r w:rsidR="00C97783" w:rsidRPr="00655859">
        <w:rPr>
          <w:lang w:val="fr-CA"/>
        </w:rPr>
        <w:t>mm à 7,6</w:t>
      </w:r>
      <w:r w:rsidR="003B2C52">
        <w:rPr>
          <w:lang w:val="fr-CA"/>
        </w:rPr>
        <w:t> </w:t>
      </w:r>
      <w:r w:rsidR="00C97783" w:rsidRPr="00655859">
        <w:rPr>
          <w:lang w:val="fr-CA"/>
        </w:rPr>
        <w:t>mm;</w:t>
      </w:r>
    </w:p>
    <w:p w14:paraId="73BA7B58" w14:textId="6FA2B954" w:rsidR="00C97783" w:rsidRPr="00655859" w:rsidRDefault="00142F12" w:rsidP="003F66F0">
      <w:pPr>
        <w:pStyle w:val="ListRef"/>
        <w:numPr>
          <w:ilvl w:val="1"/>
          <w:numId w:val="55"/>
        </w:numPr>
        <w:rPr>
          <w:lang w:val="fr-CA"/>
        </w:rPr>
      </w:pPr>
      <w:proofErr w:type="gramStart"/>
      <w:r>
        <w:rPr>
          <w:lang w:val="fr-CA"/>
        </w:rPr>
        <w:t>u</w:t>
      </w:r>
      <w:r w:rsidR="00C97783" w:rsidRPr="00655859">
        <w:rPr>
          <w:lang w:val="fr-CA"/>
        </w:rPr>
        <w:t>ne</w:t>
      </w:r>
      <w:proofErr w:type="gramEnd"/>
      <w:r w:rsidR="00C97783" w:rsidRPr="00655859">
        <w:rPr>
          <w:lang w:val="fr-CA"/>
        </w:rPr>
        <w:t xml:space="preserve"> hauteur de point de 0,6</w:t>
      </w:r>
      <w:r w:rsidR="003B2C52">
        <w:rPr>
          <w:lang w:val="fr-CA"/>
        </w:rPr>
        <w:t> </w:t>
      </w:r>
      <w:r w:rsidR="00C97783" w:rsidRPr="00655859">
        <w:rPr>
          <w:lang w:val="fr-CA"/>
        </w:rPr>
        <w:t>mm à 0,9</w:t>
      </w:r>
      <w:r w:rsidR="003B2C52">
        <w:rPr>
          <w:lang w:val="fr-CA"/>
        </w:rPr>
        <w:t> </w:t>
      </w:r>
      <w:r w:rsidR="00C97783" w:rsidRPr="00655859">
        <w:rPr>
          <w:lang w:val="fr-CA"/>
        </w:rPr>
        <w:t>mm; et</w:t>
      </w:r>
    </w:p>
    <w:p w14:paraId="541AD5E1" w14:textId="5C0D494D" w:rsidR="00C97783" w:rsidRPr="00655859" w:rsidRDefault="002D6596" w:rsidP="003F66F0">
      <w:pPr>
        <w:pStyle w:val="ListRef"/>
        <w:numPr>
          <w:ilvl w:val="1"/>
          <w:numId w:val="55"/>
        </w:numPr>
        <w:rPr>
          <w:lang w:val="fr-CA"/>
        </w:rPr>
      </w:pPr>
      <w:proofErr w:type="gramStart"/>
      <w:r>
        <w:rPr>
          <w:lang w:val="fr-CA"/>
        </w:rPr>
        <w:t>u</w:t>
      </w:r>
      <w:r w:rsidR="00C97783" w:rsidRPr="00655859">
        <w:rPr>
          <w:lang w:val="fr-CA"/>
        </w:rPr>
        <w:t>ne</w:t>
      </w:r>
      <w:proofErr w:type="gramEnd"/>
      <w:r w:rsidR="00C97783" w:rsidRPr="00655859">
        <w:rPr>
          <w:lang w:val="fr-CA"/>
        </w:rPr>
        <w:t xml:space="preserve"> distance entre les points correspondants d</w:t>
      </w:r>
      <w:r w:rsidR="00AB16E8">
        <w:rPr>
          <w:lang w:val="fr-CA"/>
        </w:rPr>
        <w:t>’</w:t>
      </w:r>
      <w:r w:rsidR="00C97783" w:rsidRPr="00655859">
        <w:rPr>
          <w:lang w:val="fr-CA"/>
        </w:rPr>
        <w:t>une cellule directement en dessous de 10</w:t>
      </w:r>
      <w:r w:rsidR="003B2C52">
        <w:rPr>
          <w:lang w:val="fr-CA"/>
        </w:rPr>
        <w:t> </w:t>
      </w:r>
      <w:r w:rsidR="00C97783" w:rsidRPr="00655859">
        <w:rPr>
          <w:lang w:val="fr-CA"/>
        </w:rPr>
        <w:t>mm à 10,2</w:t>
      </w:r>
      <w:r w:rsidR="003B2C52">
        <w:rPr>
          <w:lang w:val="fr-CA"/>
        </w:rPr>
        <w:t> </w:t>
      </w:r>
      <w:proofErr w:type="spellStart"/>
      <w:r w:rsidR="00C97783" w:rsidRPr="00655859">
        <w:rPr>
          <w:lang w:val="fr-CA"/>
        </w:rPr>
        <w:t>mm.</w:t>
      </w:r>
      <w:proofErr w:type="spellEnd"/>
    </w:p>
    <w:p w14:paraId="6CE14C0F" w14:textId="1F26A0C5" w:rsidR="00C97783" w:rsidRPr="00655859" w:rsidRDefault="00C97783" w:rsidP="003F66F0">
      <w:pPr>
        <w:pStyle w:val="ListRef"/>
        <w:numPr>
          <w:ilvl w:val="0"/>
          <w:numId w:val="55"/>
        </w:numPr>
        <w:rPr>
          <w:lang w:val="fr-CA"/>
        </w:rPr>
      </w:pPr>
      <w:proofErr w:type="gramStart"/>
      <w:r w:rsidRPr="00655859">
        <w:rPr>
          <w:lang w:val="fr-CA"/>
        </w:rPr>
        <w:lastRenderedPageBreak/>
        <w:t>être</w:t>
      </w:r>
      <w:proofErr w:type="gramEnd"/>
      <w:r w:rsidRPr="00655859">
        <w:rPr>
          <w:lang w:val="fr-CA"/>
        </w:rPr>
        <w:t xml:space="preserve"> séparé par un minimum de 9,5</w:t>
      </w:r>
      <w:r w:rsidR="003B2C52">
        <w:rPr>
          <w:lang w:val="fr-CA"/>
        </w:rPr>
        <w:t> </w:t>
      </w:r>
      <w:r w:rsidRPr="00655859">
        <w:rPr>
          <w:lang w:val="fr-CA"/>
        </w:rPr>
        <w:t>mm des autres caractères tactiles et de 9,5</w:t>
      </w:r>
      <w:r w:rsidR="003B2C52">
        <w:rPr>
          <w:lang w:val="fr-CA"/>
        </w:rPr>
        <w:t> </w:t>
      </w:r>
      <w:r w:rsidRPr="00655859">
        <w:rPr>
          <w:lang w:val="fr-CA"/>
        </w:rPr>
        <w:t>mm des bordures en relief et des éléments décoratifs.</w:t>
      </w:r>
    </w:p>
    <w:p w14:paraId="472B336B" w14:textId="578370F3" w:rsidR="009B3F1F" w:rsidRDefault="003B4174" w:rsidP="003B4174">
      <w:pPr>
        <w:pStyle w:val="Heading2"/>
      </w:pPr>
      <w:bookmarkStart w:id="654" w:name="_Toc219706236"/>
      <w:proofErr w:type="spellStart"/>
      <w:r>
        <w:t>Pictogrammes</w:t>
      </w:r>
      <w:proofErr w:type="spellEnd"/>
      <w:r>
        <w:t xml:space="preserve"> et </w:t>
      </w:r>
      <w:proofErr w:type="spellStart"/>
      <w:r>
        <w:t>symboles</w:t>
      </w:r>
      <w:proofErr w:type="spellEnd"/>
      <w:r>
        <w:t xml:space="preserve"> </w:t>
      </w:r>
      <w:proofErr w:type="spellStart"/>
      <w:r>
        <w:t>graphiques</w:t>
      </w:r>
      <w:bookmarkEnd w:id="654"/>
      <w:proofErr w:type="spellEnd"/>
    </w:p>
    <w:p w14:paraId="62BD6000" w14:textId="6A551876" w:rsidR="00DD77F2" w:rsidRPr="00AD4403" w:rsidRDefault="00DD77F2" w:rsidP="00DD77F2">
      <w:pPr>
        <w:rPr>
          <w:lang w:val="fr-CA"/>
        </w:rPr>
      </w:pPr>
      <w:r w:rsidRPr="00AD4403">
        <w:rPr>
          <w:lang w:val="fr-CA"/>
        </w:rPr>
        <w:t>Des exemples de pictogrammes incluent le symbole d</w:t>
      </w:r>
      <w:r w:rsidR="00AB16E8">
        <w:rPr>
          <w:lang w:val="fr-CA"/>
        </w:rPr>
        <w:t>’</w:t>
      </w:r>
      <w:r w:rsidRPr="00AD4403">
        <w:rPr>
          <w:lang w:val="fr-CA"/>
        </w:rPr>
        <w:t>accès, utilisé pour illustrer qu</w:t>
      </w:r>
      <w:r w:rsidR="00AB16E8">
        <w:rPr>
          <w:lang w:val="fr-CA"/>
        </w:rPr>
        <w:t>’</w:t>
      </w:r>
      <w:r w:rsidRPr="00AD4403">
        <w:rPr>
          <w:lang w:val="fr-CA"/>
        </w:rPr>
        <w:t>une commodité, un espace ou un</w:t>
      </w:r>
      <w:r w:rsidR="001C5A53">
        <w:rPr>
          <w:lang w:val="fr-CA"/>
        </w:rPr>
        <w:t>e</w:t>
      </w:r>
      <w:r w:rsidRPr="00AD4403">
        <w:rPr>
          <w:lang w:val="fr-CA"/>
        </w:rPr>
        <w:t xml:space="preserve"> </w:t>
      </w:r>
      <w:r w:rsidR="004C310D">
        <w:rPr>
          <w:lang w:val="fr-CA"/>
        </w:rPr>
        <w:t>voie de circulation</w:t>
      </w:r>
      <w:r w:rsidRPr="00AD4403">
        <w:rPr>
          <w:lang w:val="fr-CA"/>
        </w:rPr>
        <w:t xml:space="preserve"> est accessible. Une flèche en position vers le haut est un pictogramme utilisé pour indiquer le mouvement vers l</w:t>
      </w:r>
      <w:r w:rsidR="00AB16E8">
        <w:rPr>
          <w:lang w:val="fr-CA"/>
        </w:rPr>
        <w:t>’</w:t>
      </w:r>
      <w:r w:rsidRPr="00AD4403">
        <w:rPr>
          <w:lang w:val="fr-CA"/>
        </w:rPr>
        <w:t xml:space="preserve">avant sur un </w:t>
      </w:r>
      <w:r w:rsidR="00C74C9E">
        <w:rPr>
          <w:lang w:val="fr-CA"/>
        </w:rPr>
        <w:t>panneau</w:t>
      </w:r>
      <w:r w:rsidRPr="00AD4403">
        <w:rPr>
          <w:lang w:val="fr-CA"/>
        </w:rPr>
        <w:t xml:space="preserve"> directionnel. Un pictogramme d</w:t>
      </w:r>
      <w:r w:rsidR="00AB16E8">
        <w:rPr>
          <w:lang w:val="fr-CA"/>
        </w:rPr>
        <w:t>’</w:t>
      </w:r>
      <w:r w:rsidRPr="00AD4403">
        <w:rPr>
          <w:lang w:val="fr-CA"/>
        </w:rPr>
        <w:t xml:space="preserve">une croix blanche sur </w:t>
      </w:r>
      <w:r w:rsidR="00C74C9E">
        <w:rPr>
          <w:lang w:val="fr-CA"/>
        </w:rPr>
        <w:t>un arrière-plan</w:t>
      </w:r>
      <w:r w:rsidRPr="00AD4403">
        <w:rPr>
          <w:lang w:val="fr-CA"/>
        </w:rPr>
        <w:t xml:space="preserve"> vert communique les premiers soins.</w:t>
      </w:r>
    </w:p>
    <w:p w14:paraId="7F5C2D42" w14:textId="27B89143" w:rsidR="000573AA" w:rsidRPr="000573AA" w:rsidRDefault="000573AA" w:rsidP="000573AA">
      <w:pPr>
        <w:pStyle w:val="ListRef"/>
      </w:pPr>
      <w:r>
        <w:t xml:space="preserve">Les </w:t>
      </w:r>
      <w:proofErr w:type="spellStart"/>
      <w:r>
        <w:t>pictogrammes</w:t>
      </w:r>
      <w:proofErr w:type="spellEnd"/>
      <w:r>
        <w:t xml:space="preserve"> </w:t>
      </w:r>
      <w:proofErr w:type="spellStart"/>
      <w:proofErr w:type="gramStart"/>
      <w:r>
        <w:t>doivent</w:t>
      </w:r>
      <w:proofErr w:type="spellEnd"/>
      <w:r w:rsidR="001C5600">
        <w:t> </w:t>
      </w:r>
      <w:r>
        <w:t>:</w:t>
      </w:r>
      <w:proofErr w:type="gramEnd"/>
    </w:p>
    <w:p w14:paraId="0E414B1E" w14:textId="6EA98F61" w:rsidR="000573AA" w:rsidRPr="00AD4403" w:rsidRDefault="003F4415" w:rsidP="003F66F0">
      <w:pPr>
        <w:pStyle w:val="ListRef"/>
        <w:numPr>
          <w:ilvl w:val="0"/>
          <w:numId w:val="56"/>
        </w:numPr>
        <w:rPr>
          <w:lang w:val="fr-CA"/>
        </w:rPr>
      </w:pPr>
      <w:proofErr w:type="gramStart"/>
      <w:r>
        <w:rPr>
          <w:lang w:val="fr-CA"/>
        </w:rPr>
        <w:t>l</w:t>
      </w:r>
      <w:r w:rsidR="000573AA" w:rsidRPr="00AD4403">
        <w:rPr>
          <w:lang w:val="fr-CA"/>
        </w:rPr>
        <w:t>orsqu</w:t>
      </w:r>
      <w:r w:rsidR="00AB16E8">
        <w:rPr>
          <w:lang w:val="fr-CA"/>
        </w:rPr>
        <w:t>’</w:t>
      </w:r>
      <w:r w:rsidR="000573AA" w:rsidRPr="00AD4403">
        <w:rPr>
          <w:lang w:val="fr-CA"/>
        </w:rPr>
        <w:t>ils</w:t>
      </w:r>
      <w:proofErr w:type="gramEnd"/>
      <w:r w:rsidR="000573AA" w:rsidRPr="00AD4403">
        <w:rPr>
          <w:lang w:val="fr-CA"/>
        </w:rPr>
        <w:t xml:space="preserve"> sont utilisés sur des panneaux d</w:t>
      </w:r>
      <w:r w:rsidR="00264542">
        <w:rPr>
          <w:lang w:val="fr-CA"/>
        </w:rPr>
        <w:t>’orientation</w:t>
      </w:r>
      <w:r w:rsidR="000573AA" w:rsidRPr="00AD4403">
        <w:rPr>
          <w:lang w:val="fr-CA"/>
        </w:rPr>
        <w:t xml:space="preserve"> personnalisés, inclu</w:t>
      </w:r>
      <w:r w:rsidR="000521AA">
        <w:rPr>
          <w:lang w:val="fr-CA"/>
        </w:rPr>
        <w:t>re</w:t>
      </w:r>
      <w:r w:rsidR="001C5600">
        <w:rPr>
          <w:lang w:val="fr-CA"/>
        </w:rPr>
        <w:t> </w:t>
      </w:r>
      <w:r w:rsidR="000573AA" w:rsidRPr="00AD4403">
        <w:rPr>
          <w:lang w:val="fr-CA"/>
        </w:rPr>
        <w:t>:</w:t>
      </w:r>
    </w:p>
    <w:p w14:paraId="79EB8766" w14:textId="77777777" w:rsidR="000573AA" w:rsidRPr="00AD4403" w:rsidRDefault="000573AA" w:rsidP="003F66F0">
      <w:pPr>
        <w:pStyle w:val="ListRef"/>
        <w:numPr>
          <w:ilvl w:val="1"/>
          <w:numId w:val="56"/>
        </w:numPr>
        <w:rPr>
          <w:lang w:val="fr-CA"/>
        </w:rPr>
      </w:pPr>
      <w:proofErr w:type="gramStart"/>
      <w:r w:rsidRPr="00AD4403">
        <w:rPr>
          <w:lang w:val="fr-CA"/>
        </w:rPr>
        <w:t>des</w:t>
      </w:r>
      <w:proofErr w:type="gramEnd"/>
      <w:r w:rsidRPr="00AD4403">
        <w:rPr>
          <w:lang w:val="fr-CA"/>
        </w:rPr>
        <w:t xml:space="preserve"> pictogrammes adoptés dans les publications canadiennes de normalisation; </w:t>
      </w:r>
    </w:p>
    <w:p w14:paraId="5BB65B86" w14:textId="23584B8B" w:rsidR="000573AA" w:rsidRPr="00AD4403" w:rsidRDefault="000573AA" w:rsidP="003F66F0">
      <w:pPr>
        <w:pStyle w:val="ListRef"/>
        <w:numPr>
          <w:ilvl w:val="1"/>
          <w:numId w:val="56"/>
        </w:numPr>
        <w:rPr>
          <w:lang w:val="fr-CA"/>
        </w:rPr>
      </w:pPr>
      <w:proofErr w:type="gramStart"/>
      <w:r w:rsidRPr="00AD4403">
        <w:rPr>
          <w:lang w:val="fr-CA"/>
        </w:rPr>
        <w:t>des</w:t>
      </w:r>
      <w:proofErr w:type="gramEnd"/>
      <w:r w:rsidRPr="00AD4403">
        <w:rPr>
          <w:lang w:val="fr-CA"/>
        </w:rPr>
        <w:t xml:space="preserve"> pictogrammes et symboles graphiques publiés et enregistrés par l</w:t>
      </w:r>
      <w:r w:rsidR="00AB16E8">
        <w:rPr>
          <w:lang w:val="fr-CA"/>
        </w:rPr>
        <w:t>’</w:t>
      </w:r>
      <w:r w:rsidRPr="00AD4403">
        <w:rPr>
          <w:lang w:val="fr-CA"/>
        </w:rPr>
        <w:t>Organisation internationale de normalisation (</w:t>
      </w:r>
      <w:r w:rsidR="009F52E1">
        <w:rPr>
          <w:lang w:val="fr-CA"/>
        </w:rPr>
        <w:t>ISO</w:t>
      </w:r>
      <w:r w:rsidRPr="00AD4403">
        <w:rPr>
          <w:lang w:val="fr-CA"/>
        </w:rPr>
        <w:t xml:space="preserve">); et </w:t>
      </w:r>
    </w:p>
    <w:p w14:paraId="20F717D2" w14:textId="68A5A456" w:rsidR="004B146D" w:rsidRPr="00AD4403" w:rsidRDefault="000573AA" w:rsidP="003F66F0">
      <w:pPr>
        <w:pStyle w:val="ListRef"/>
        <w:numPr>
          <w:ilvl w:val="1"/>
          <w:numId w:val="56"/>
        </w:numPr>
        <w:rPr>
          <w:lang w:val="fr-CA"/>
        </w:rPr>
      </w:pPr>
      <w:proofErr w:type="gramStart"/>
      <w:r w:rsidRPr="00AD4403">
        <w:rPr>
          <w:lang w:val="fr-CA"/>
        </w:rPr>
        <w:t>des</w:t>
      </w:r>
      <w:proofErr w:type="gramEnd"/>
      <w:r w:rsidRPr="00AD4403">
        <w:rPr>
          <w:lang w:val="fr-CA"/>
        </w:rPr>
        <w:t xml:space="preserve"> pictogrammes ayant subi un processus d</w:t>
      </w:r>
      <w:r w:rsidR="00CB3BF3">
        <w:rPr>
          <w:lang w:val="fr-CA"/>
        </w:rPr>
        <w:t>’essai</w:t>
      </w:r>
      <w:r w:rsidR="00E87CBB">
        <w:rPr>
          <w:lang w:val="fr-CA"/>
        </w:rPr>
        <w:t>;</w:t>
      </w:r>
    </w:p>
    <w:p w14:paraId="641D8E16" w14:textId="7C68DA0C" w:rsidR="000573AA" w:rsidRPr="00877353" w:rsidRDefault="00CB3BF3" w:rsidP="00BD0D7A">
      <w:pPr>
        <w:pStyle w:val="ListRef"/>
        <w:ind w:left="1599" w:firstLine="0"/>
        <w:rPr>
          <w:lang w:val="fr-CA"/>
        </w:rPr>
      </w:pPr>
      <w:r>
        <w:rPr>
          <w:rStyle w:val="EmphasisUseSparingly"/>
          <w:lang w:val="fr-CA"/>
        </w:rPr>
        <w:t>Remarque</w:t>
      </w:r>
      <w:r w:rsidR="001C5600">
        <w:rPr>
          <w:rStyle w:val="EmphasisUseSparingly"/>
          <w:lang w:val="fr-CA"/>
        </w:rPr>
        <w:t> </w:t>
      </w:r>
      <w:r w:rsidR="000573AA" w:rsidRPr="00877353">
        <w:rPr>
          <w:lang w:val="fr-CA"/>
        </w:rPr>
        <w:t>: ISO 9186-1:2014 Symboles graphiques — Méthodes d</w:t>
      </w:r>
      <w:r w:rsidR="009206D5">
        <w:rPr>
          <w:lang w:val="fr-CA"/>
        </w:rPr>
        <w:t>’essai</w:t>
      </w:r>
      <w:r w:rsidR="000573AA" w:rsidRPr="00877353">
        <w:rPr>
          <w:lang w:val="fr-CA"/>
        </w:rPr>
        <w:t xml:space="preserve"> Partie 1</w:t>
      </w:r>
      <w:r w:rsidR="001C5600">
        <w:rPr>
          <w:lang w:val="fr-CA"/>
        </w:rPr>
        <w:t> </w:t>
      </w:r>
      <w:r w:rsidR="000573AA" w:rsidRPr="00877353">
        <w:rPr>
          <w:lang w:val="fr-CA"/>
        </w:rPr>
        <w:t xml:space="preserve">: </w:t>
      </w:r>
      <w:r w:rsidR="009206D5">
        <w:rPr>
          <w:lang w:val="fr-CA"/>
        </w:rPr>
        <w:t>M</w:t>
      </w:r>
      <w:r w:rsidR="000573AA" w:rsidRPr="00877353">
        <w:rPr>
          <w:lang w:val="fr-CA"/>
        </w:rPr>
        <w:t xml:space="preserve">éthode de </w:t>
      </w:r>
      <w:r w:rsidR="009206D5">
        <w:rPr>
          <w:lang w:val="fr-CA"/>
        </w:rPr>
        <w:t>vérification</w:t>
      </w:r>
      <w:r w:rsidR="000573AA" w:rsidRPr="00877353">
        <w:rPr>
          <w:lang w:val="fr-CA"/>
        </w:rPr>
        <w:t xml:space="preserve"> de la compréhensibilité est l</w:t>
      </w:r>
      <w:r w:rsidR="009206D5">
        <w:rPr>
          <w:lang w:val="fr-CA"/>
        </w:rPr>
        <w:t>’essai</w:t>
      </w:r>
      <w:r w:rsidR="000573AA" w:rsidRPr="00877353">
        <w:rPr>
          <w:lang w:val="fr-CA"/>
        </w:rPr>
        <w:t xml:space="preserve"> le plus couramment utilisé pour la compréhension des pictogrammes et symboles.</w:t>
      </w:r>
    </w:p>
    <w:p w14:paraId="7F154785" w14:textId="2EFD600C" w:rsidR="000573AA" w:rsidRPr="00AD4403" w:rsidRDefault="000573AA" w:rsidP="003F66F0">
      <w:pPr>
        <w:pStyle w:val="ListRef"/>
        <w:numPr>
          <w:ilvl w:val="0"/>
          <w:numId w:val="56"/>
        </w:numPr>
        <w:rPr>
          <w:lang w:val="fr-CA"/>
        </w:rPr>
      </w:pPr>
      <w:proofErr w:type="gramStart"/>
      <w:r w:rsidRPr="00AD4403">
        <w:rPr>
          <w:lang w:val="fr-CA"/>
        </w:rPr>
        <w:t>adopter</w:t>
      </w:r>
      <w:proofErr w:type="gramEnd"/>
      <w:r w:rsidRPr="00AD4403">
        <w:rPr>
          <w:lang w:val="fr-CA"/>
        </w:rPr>
        <w:t xml:space="preserve"> le symbole </w:t>
      </w:r>
      <w:r w:rsidR="007E5ACE">
        <w:rPr>
          <w:lang w:val="fr-CA"/>
        </w:rPr>
        <w:t>« I</w:t>
      </w:r>
      <w:r w:rsidRPr="00AD4403">
        <w:rPr>
          <w:lang w:val="fr-CA"/>
        </w:rPr>
        <w:t xml:space="preserve">nternational </w:t>
      </w:r>
      <w:proofErr w:type="spellStart"/>
      <w:r w:rsidR="00483F22">
        <w:rPr>
          <w:lang w:val="fr-CA"/>
        </w:rPr>
        <w:t>P</w:t>
      </w:r>
      <w:r w:rsidRPr="00AD4403">
        <w:rPr>
          <w:lang w:val="fr-CA"/>
        </w:rPr>
        <w:t>ictogram</w:t>
      </w:r>
      <w:proofErr w:type="spellEnd"/>
      <w:r w:rsidRPr="00AD4403">
        <w:rPr>
          <w:lang w:val="fr-CA"/>
        </w:rPr>
        <w:t xml:space="preserve"> </w:t>
      </w:r>
      <w:r w:rsidR="007E5ACE">
        <w:rPr>
          <w:lang w:val="fr-CA"/>
        </w:rPr>
        <w:t xml:space="preserve">of </w:t>
      </w:r>
      <w:r w:rsidR="00483F22">
        <w:rPr>
          <w:lang w:val="fr-CA"/>
        </w:rPr>
        <w:t>A</w:t>
      </w:r>
      <w:r w:rsidRPr="00AD4403">
        <w:rPr>
          <w:lang w:val="fr-CA"/>
        </w:rPr>
        <w:t>cc</w:t>
      </w:r>
      <w:r w:rsidR="00483F22">
        <w:rPr>
          <w:lang w:val="fr-CA"/>
        </w:rPr>
        <w:t>ess</w:t>
      </w:r>
      <w:r w:rsidR="007E5ACE">
        <w:rPr>
          <w:lang w:val="fr-CA"/>
        </w:rPr>
        <w:t> »</w:t>
      </w:r>
      <w:r w:rsidRPr="00AD4403">
        <w:rPr>
          <w:lang w:val="fr-CA"/>
        </w:rPr>
        <w:t xml:space="preserve"> (ISO PI AC 001, également appelé </w:t>
      </w:r>
      <w:r w:rsidR="00AE70C3">
        <w:rPr>
          <w:lang w:val="fr-CA"/>
        </w:rPr>
        <w:t>Symbol</w:t>
      </w:r>
      <w:r w:rsidR="00383679">
        <w:rPr>
          <w:lang w:val="fr-CA"/>
        </w:rPr>
        <w:t>e</w:t>
      </w:r>
      <w:r w:rsidR="00F3481C">
        <w:rPr>
          <w:lang w:val="fr-CA"/>
        </w:rPr>
        <w:t xml:space="preserve"> international d’accessibilité</w:t>
      </w:r>
      <w:r w:rsidR="00222D77">
        <w:rPr>
          <w:lang w:val="fr-CA"/>
        </w:rPr>
        <w:t xml:space="preserve">) </w:t>
      </w:r>
      <w:r w:rsidRPr="00AD4403">
        <w:rPr>
          <w:lang w:val="fr-CA"/>
        </w:rPr>
        <w:t>l</w:t>
      </w:r>
      <w:r w:rsidR="0094125D">
        <w:rPr>
          <w:lang w:val="fr-CA"/>
        </w:rPr>
        <w:t>e cas échéant</w:t>
      </w:r>
      <w:r w:rsidRPr="00AD4403">
        <w:rPr>
          <w:lang w:val="fr-CA"/>
        </w:rPr>
        <w:t>;</w:t>
      </w:r>
    </w:p>
    <w:p w14:paraId="384D011E" w14:textId="5BDF50C9" w:rsidR="000573AA" w:rsidRPr="00AD4403" w:rsidRDefault="004F50C9" w:rsidP="000573AA">
      <w:pPr>
        <w:pStyle w:val="ListRef"/>
        <w:ind w:left="1066" w:firstLine="0"/>
        <w:rPr>
          <w:lang w:val="fr-CA"/>
        </w:rPr>
      </w:pPr>
      <w:r>
        <w:rPr>
          <w:rStyle w:val="EmphasisUseSparingly"/>
          <w:lang w:val="fr-CA"/>
        </w:rPr>
        <w:lastRenderedPageBreak/>
        <w:t>Remarque</w:t>
      </w:r>
      <w:r w:rsidR="001C5600">
        <w:rPr>
          <w:rStyle w:val="EmphasisUseSparingly"/>
          <w:lang w:val="fr-CA"/>
        </w:rPr>
        <w:t> </w:t>
      </w:r>
      <w:r w:rsidR="000573AA" w:rsidRPr="00AD4403">
        <w:rPr>
          <w:lang w:val="fr-CA"/>
        </w:rPr>
        <w:t>: Comme il est universellement reconnu, le symbole</w:t>
      </w:r>
      <w:r w:rsidR="00EA53B2">
        <w:rPr>
          <w:lang w:val="fr-CA"/>
        </w:rPr>
        <w:t xml:space="preserve"> « International </w:t>
      </w:r>
      <w:proofErr w:type="spellStart"/>
      <w:r w:rsidR="00EA53B2">
        <w:rPr>
          <w:lang w:val="fr-CA"/>
        </w:rPr>
        <w:t>Pictogram</w:t>
      </w:r>
      <w:proofErr w:type="spellEnd"/>
      <w:r w:rsidR="00D81077">
        <w:rPr>
          <w:lang w:val="fr-CA"/>
        </w:rPr>
        <w:t xml:space="preserve"> </w:t>
      </w:r>
      <w:r w:rsidR="00EA53B2">
        <w:rPr>
          <w:lang w:val="fr-CA"/>
        </w:rPr>
        <w:t>of Access »</w:t>
      </w:r>
      <w:r w:rsidR="000573AA" w:rsidRPr="00AD4403">
        <w:rPr>
          <w:lang w:val="fr-CA"/>
        </w:rPr>
        <w:t xml:space="preserve"> n</w:t>
      </w:r>
      <w:r w:rsidR="00AB16E8">
        <w:rPr>
          <w:lang w:val="fr-CA"/>
        </w:rPr>
        <w:t>’</w:t>
      </w:r>
      <w:r w:rsidR="000573AA" w:rsidRPr="00AD4403">
        <w:rPr>
          <w:lang w:val="fr-CA"/>
        </w:rPr>
        <w:t>est pas obligé d</w:t>
      </w:r>
      <w:r w:rsidR="00AB16E8">
        <w:rPr>
          <w:lang w:val="fr-CA"/>
        </w:rPr>
        <w:t>’</w:t>
      </w:r>
      <w:r w:rsidR="000573AA" w:rsidRPr="00AD4403">
        <w:rPr>
          <w:lang w:val="fr-CA"/>
        </w:rPr>
        <w:t>être accompagné d</w:t>
      </w:r>
      <w:r w:rsidR="00AB16E8">
        <w:rPr>
          <w:lang w:val="fr-CA"/>
        </w:rPr>
        <w:t>’</w:t>
      </w:r>
      <w:r w:rsidR="000573AA" w:rsidRPr="00AD4403">
        <w:rPr>
          <w:lang w:val="fr-CA"/>
        </w:rPr>
        <w:t>un texte en relief. Il est possible de positionner le braille dans le champ.</w:t>
      </w:r>
    </w:p>
    <w:p w14:paraId="7D309BCF" w14:textId="45FAEE23" w:rsidR="000573AA" w:rsidRPr="00AD4403" w:rsidRDefault="000573AA" w:rsidP="003F66F0">
      <w:pPr>
        <w:pStyle w:val="ListRef"/>
        <w:numPr>
          <w:ilvl w:val="0"/>
          <w:numId w:val="56"/>
        </w:numPr>
        <w:rPr>
          <w:lang w:val="fr-CA"/>
        </w:rPr>
      </w:pPr>
      <w:proofErr w:type="gramStart"/>
      <w:r w:rsidRPr="00AD4403">
        <w:rPr>
          <w:lang w:val="fr-CA"/>
        </w:rPr>
        <w:t>avoir</w:t>
      </w:r>
      <w:proofErr w:type="gramEnd"/>
      <w:r w:rsidRPr="00AD4403">
        <w:rPr>
          <w:lang w:val="fr-CA"/>
        </w:rPr>
        <w:t xml:space="preserve"> des </w:t>
      </w:r>
      <w:r w:rsidR="00150151">
        <w:rPr>
          <w:lang w:val="fr-CA"/>
        </w:rPr>
        <w:t xml:space="preserve">panneaux </w:t>
      </w:r>
      <w:r w:rsidRPr="00AD4403">
        <w:rPr>
          <w:lang w:val="fr-CA"/>
        </w:rPr>
        <w:t>incluant des caractères tactiles et du braille pour communiquer clairement la signification du pictogramme qu</w:t>
      </w:r>
      <w:r w:rsidR="00AB16E8">
        <w:rPr>
          <w:lang w:val="fr-CA"/>
        </w:rPr>
        <w:t>’</w:t>
      </w:r>
      <w:r w:rsidRPr="00AD4403">
        <w:rPr>
          <w:lang w:val="fr-CA"/>
        </w:rPr>
        <w:t>ils affichent;</w:t>
      </w:r>
    </w:p>
    <w:p w14:paraId="4CD65214" w14:textId="65E5D06B" w:rsidR="000573AA" w:rsidRPr="00AD4403" w:rsidRDefault="000573AA" w:rsidP="003F66F0">
      <w:pPr>
        <w:pStyle w:val="ListRef"/>
        <w:numPr>
          <w:ilvl w:val="0"/>
          <w:numId w:val="56"/>
        </w:numPr>
        <w:rPr>
          <w:lang w:val="fr-CA"/>
        </w:rPr>
      </w:pPr>
      <w:proofErr w:type="gramStart"/>
      <w:r w:rsidRPr="00AD4403">
        <w:rPr>
          <w:lang w:val="fr-CA"/>
        </w:rPr>
        <w:t>contraster</w:t>
      </w:r>
      <w:proofErr w:type="gramEnd"/>
      <w:r w:rsidRPr="00AD4403">
        <w:rPr>
          <w:lang w:val="fr-CA"/>
        </w:rPr>
        <w:t xml:space="preserve"> avec leurs champs, soit avec un pictogramme clair sur un champ sombre, soit un pictogramme sombre sur un champ clair (voir l</w:t>
      </w:r>
      <w:r w:rsidR="00A7790E">
        <w:rPr>
          <w:lang w:val="fr-CA"/>
        </w:rPr>
        <w:t>’article</w:t>
      </w:r>
      <w:r w:rsidRPr="00AD4403">
        <w:rPr>
          <w:lang w:val="fr-CA"/>
        </w:rPr>
        <w:t xml:space="preserve"> </w:t>
      </w:r>
      <w:r w:rsidR="004926F3">
        <w:fldChar w:fldCharType="begin"/>
      </w:r>
      <w:r w:rsidR="004926F3" w:rsidRPr="007C0FBA">
        <w:rPr>
          <w:lang w:val="fr-CA"/>
        </w:rPr>
        <w:instrText>HYPERLINK \l "_Colour_contrast"</w:instrText>
      </w:r>
      <w:r w:rsidR="004926F3">
        <w:fldChar w:fldCharType="separate"/>
      </w:r>
      <w:r w:rsidR="004926F3" w:rsidRPr="00AD4403">
        <w:rPr>
          <w:rStyle w:val="Hyperlink"/>
          <w:lang w:val="fr-CA"/>
        </w:rPr>
        <w:t>1</w:t>
      </w:r>
      <w:r w:rsidR="00A5648C">
        <w:rPr>
          <w:rStyle w:val="Hyperlink"/>
          <w:lang w:val="fr-CA"/>
        </w:rPr>
        <w:t>2</w:t>
      </w:r>
      <w:r w:rsidR="004926F3" w:rsidRPr="00AD4403">
        <w:rPr>
          <w:rStyle w:val="Hyperlink"/>
          <w:lang w:val="fr-CA"/>
        </w:rPr>
        <w:t>.5</w:t>
      </w:r>
      <w:r w:rsidR="004926F3">
        <w:fldChar w:fldCharType="end"/>
      </w:r>
      <w:r w:rsidRPr="00AD4403">
        <w:rPr>
          <w:lang w:val="fr-CA"/>
        </w:rPr>
        <w:t xml:space="preserve"> pour l</w:t>
      </w:r>
      <w:r w:rsidR="00AB16E8">
        <w:rPr>
          <w:lang w:val="fr-CA"/>
        </w:rPr>
        <w:t>’</w:t>
      </w:r>
      <w:r w:rsidRPr="00AD4403">
        <w:rPr>
          <w:lang w:val="fr-CA"/>
        </w:rPr>
        <w:t>information sur le contraste des couleurs);</w:t>
      </w:r>
    </w:p>
    <w:p w14:paraId="5517A919" w14:textId="0EE524B9" w:rsidR="000573AA" w:rsidRPr="00AD4403" w:rsidRDefault="00A462D4" w:rsidP="003F66F0">
      <w:pPr>
        <w:pStyle w:val="ListRef"/>
        <w:numPr>
          <w:ilvl w:val="0"/>
          <w:numId w:val="56"/>
        </w:numPr>
        <w:rPr>
          <w:lang w:val="fr-CA"/>
        </w:rPr>
      </w:pPr>
      <w:proofErr w:type="gramStart"/>
      <w:r>
        <w:rPr>
          <w:lang w:val="fr-CA"/>
        </w:rPr>
        <w:t>f</w:t>
      </w:r>
      <w:r w:rsidR="000573AA" w:rsidRPr="00AD4403">
        <w:rPr>
          <w:lang w:val="fr-CA"/>
        </w:rPr>
        <w:t>aire</w:t>
      </w:r>
      <w:proofErr w:type="gramEnd"/>
      <w:r w:rsidR="000573AA" w:rsidRPr="00AD4403">
        <w:rPr>
          <w:lang w:val="fr-CA"/>
        </w:rPr>
        <w:t xml:space="preserve"> apparaître leurs symboles sur un champ et être dimensionnés pour le remplir avec les mesures suivantes</w:t>
      </w:r>
      <w:r w:rsidR="001C5600">
        <w:rPr>
          <w:lang w:val="fr-CA"/>
        </w:rPr>
        <w:t> </w:t>
      </w:r>
      <w:r w:rsidR="000573AA" w:rsidRPr="00AD4403">
        <w:rPr>
          <w:lang w:val="fr-CA"/>
        </w:rPr>
        <w:t>:</w:t>
      </w:r>
    </w:p>
    <w:p w14:paraId="07BF0A23" w14:textId="4CC75A13" w:rsidR="000573AA" w:rsidRPr="00AD4403" w:rsidRDefault="000573AA" w:rsidP="003F66F0">
      <w:pPr>
        <w:pStyle w:val="ListRef"/>
        <w:numPr>
          <w:ilvl w:val="1"/>
          <w:numId w:val="56"/>
        </w:numPr>
        <w:rPr>
          <w:lang w:val="fr-CA"/>
        </w:rPr>
      </w:pPr>
      <w:proofErr w:type="gramStart"/>
      <w:r w:rsidRPr="00AD4403">
        <w:rPr>
          <w:lang w:val="fr-CA"/>
        </w:rPr>
        <w:t>le</w:t>
      </w:r>
      <w:proofErr w:type="gramEnd"/>
      <w:r w:rsidRPr="00AD4403">
        <w:rPr>
          <w:lang w:val="fr-CA"/>
        </w:rPr>
        <w:t xml:space="preserve"> champ doit avoir une hauteur minimale de 150</w:t>
      </w:r>
      <w:r w:rsidR="003B2C52">
        <w:rPr>
          <w:lang w:val="fr-CA"/>
        </w:rPr>
        <w:t> </w:t>
      </w:r>
      <w:r w:rsidRPr="00AD4403">
        <w:rPr>
          <w:lang w:val="fr-CA"/>
        </w:rPr>
        <w:t>mm et être surélevé de 0,8</w:t>
      </w:r>
      <w:r w:rsidR="003B2C52">
        <w:rPr>
          <w:lang w:val="fr-CA"/>
        </w:rPr>
        <w:t> </w:t>
      </w:r>
      <w:r w:rsidRPr="00AD4403">
        <w:rPr>
          <w:lang w:val="fr-CA"/>
        </w:rPr>
        <w:t>mm à 1,5</w:t>
      </w:r>
      <w:r w:rsidR="003B2C52">
        <w:rPr>
          <w:lang w:val="fr-CA"/>
        </w:rPr>
        <w:t> </w:t>
      </w:r>
      <w:r w:rsidRPr="00AD4403">
        <w:rPr>
          <w:lang w:val="fr-CA"/>
        </w:rPr>
        <w:t>mm par rapport à la surface environnante; et</w:t>
      </w:r>
    </w:p>
    <w:p w14:paraId="46F4A353" w14:textId="606E9CA0" w:rsidR="000573AA" w:rsidRPr="00AD4403" w:rsidRDefault="000573AA" w:rsidP="003F66F0">
      <w:pPr>
        <w:pStyle w:val="ListRef"/>
        <w:numPr>
          <w:ilvl w:val="1"/>
          <w:numId w:val="56"/>
        </w:numPr>
        <w:rPr>
          <w:lang w:val="fr-CA"/>
        </w:rPr>
      </w:pPr>
      <w:proofErr w:type="gramStart"/>
      <w:r w:rsidRPr="00AD4403">
        <w:rPr>
          <w:lang w:val="fr-CA"/>
        </w:rPr>
        <w:t>le</w:t>
      </w:r>
      <w:proofErr w:type="gramEnd"/>
      <w:r w:rsidRPr="00AD4403">
        <w:rPr>
          <w:lang w:val="fr-CA"/>
        </w:rPr>
        <w:t xml:space="preserve"> symbole positionné sur le champ à 0,8</w:t>
      </w:r>
      <w:r w:rsidR="00272EF7">
        <w:rPr>
          <w:lang w:val="fr-CA"/>
        </w:rPr>
        <w:t xml:space="preserve"> </w:t>
      </w:r>
      <w:r w:rsidRPr="00AD4403">
        <w:rPr>
          <w:lang w:val="fr-CA"/>
        </w:rPr>
        <w:t>-</w:t>
      </w:r>
      <w:r w:rsidR="00D8285E">
        <w:rPr>
          <w:lang w:val="fr-CA"/>
        </w:rPr>
        <w:t xml:space="preserve"> </w:t>
      </w:r>
      <w:r w:rsidRPr="00AD4403">
        <w:rPr>
          <w:lang w:val="fr-CA"/>
        </w:rPr>
        <w:t>1,5</w:t>
      </w:r>
      <w:r w:rsidR="003B2C52">
        <w:rPr>
          <w:lang w:val="fr-CA"/>
        </w:rPr>
        <w:t> </w:t>
      </w:r>
      <w:r w:rsidRPr="00AD4403">
        <w:rPr>
          <w:lang w:val="fr-CA"/>
        </w:rPr>
        <w:t>mm de la surface du champ;</w:t>
      </w:r>
    </w:p>
    <w:p w14:paraId="322A935A" w14:textId="1660AC8E" w:rsidR="000573AA" w:rsidRPr="00AD4403" w:rsidRDefault="00F31D9F" w:rsidP="003F66F0">
      <w:pPr>
        <w:pStyle w:val="ListRef"/>
        <w:numPr>
          <w:ilvl w:val="0"/>
          <w:numId w:val="56"/>
        </w:numPr>
        <w:rPr>
          <w:lang w:val="fr-CA"/>
        </w:rPr>
      </w:pPr>
      <w:proofErr w:type="gramStart"/>
      <w:r>
        <w:rPr>
          <w:lang w:val="fr-CA"/>
        </w:rPr>
        <w:t>avoir</w:t>
      </w:r>
      <w:proofErr w:type="gramEnd"/>
      <w:r>
        <w:rPr>
          <w:lang w:val="fr-CA"/>
        </w:rPr>
        <w:t xml:space="preserve"> </w:t>
      </w:r>
      <w:r w:rsidR="000573AA" w:rsidRPr="00AD4403">
        <w:rPr>
          <w:lang w:val="fr-CA"/>
        </w:rPr>
        <w:t>des symboles sans champ différencié à une hauteur minimale de 100</w:t>
      </w:r>
      <w:r w:rsidR="003B2C52">
        <w:rPr>
          <w:lang w:val="fr-CA"/>
        </w:rPr>
        <w:t> </w:t>
      </w:r>
      <w:r w:rsidR="000573AA" w:rsidRPr="00AD4403">
        <w:rPr>
          <w:lang w:val="fr-CA"/>
        </w:rPr>
        <w:t>mm; et</w:t>
      </w:r>
    </w:p>
    <w:p w14:paraId="20222456" w14:textId="2EE2A84F" w:rsidR="003B4174" w:rsidRPr="00AD4403" w:rsidRDefault="000573AA" w:rsidP="003F66F0">
      <w:pPr>
        <w:pStyle w:val="ListRef"/>
        <w:numPr>
          <w:ilvl w:val="0"/>
          <w:numId w:val="56"/>
        </w:numPr>
        <w:rPr>
          <w:lang w:val="fr-CA"/>
        </w:rPr>
      </w:pPr>
      <w:proofErr w:type="gramStart"/>
      <w:r w:rsidRPr="00AD4403">
        <w:rPr>
          <w:lang w:val="fr-CA"/>
        </w:rPr>
        <w:t>se</w:t>
      </w:r>
      <w:proofErr w:type="gramEnd"/>
      <w:r w:rsidRPr="00AD4403">
        <w:rPr>
          <w:lang w:val="fr-CA"/>
        </w:rPr>
        <w:t xml:space="preserve"> conformer aux exigences de non-réfléchissement et de faible éblouissement énoncées à l</w:t>
      </w:r>
      <w:r w:rsidR="00F31D9F">
        <w:rPr>
          <w:lang w:val="fr-CA"/>
        </w:rPr>
        <w:t>’article</w:t>
      </w:r>
      <w:r w:rsidRPr="00AD4403">
        <w:rPr>
          <w:lang w:val="fr-CA"/>
        </w:rPr>
        <w:t xml:space="preserve"> </w:t>
      </w:r>
      <w:r w:rsidR="00041B1E">
        <w:fldChar w:fldCharType="begin"/>
      </w:r>
      <w:r w:rsidR="00041B1E" w:rsidRPr="007C0FBA">
        <w:rPr>
          <w:lang w:val="fr-CA"/>
        </w:rPr>
        <w:instrText>HYPERLINK \l "_Configuration"</w:instrText>
      </w:r>
      <w:r w:rsidR="00041B1E">
        <w:fldChar w:fldCharType="separate"/>
      </w:r>
      <w:r w:rsidR="00041B1E" w:rsidRPr="00AD4403">
        <w:rPr>
          <w:rStyle w:val="Hyperlink"/>
          <w:lang w:val="fr-CA"/>
        </w:rPr>
        <w:t>1</w:t>
      </w:r>
      <w:r w:rsidR="00F4362D">
        <w:rPr>
          <w:rStyle w:val="Hyperlink"/>
          <w:lang w:val="fr-CA"/>
        </w:rPr>
        <w:t>2</w:t>
      </w:r>
      <w:r w:rsidR="00041B1E" w:rsidRPr="00AD4403">
        <w:rPr>
          <w:rStyle w:val="Hyperlink"/>
          <w:lang w:val="fr-CA"/>
        </w:rPr>
        <w:t>.4</w:t>
      </w:r>
      <w:r w:rsidR="00041B1E">
        <w:fldChar w:fldCharType="end"/>
      </w:r>
      <w:r w:rsidRPr="00AD4403">
        <w:rPr>
          <w:lang w:val="fr-CA"/>
        </w:rPr>
        <w:t>.</w:t>
      </w:r>
    </w:p>
    <w:p w14:paraId="7963EC8C" w14:textId="6883C5D3" w:rsidR="000573AA" w:rsidRDefault="00845182" w:rsidP="00845182">
      <w:pPr>
        <w:pStyle w:val="Heading2"/>
        <w:ind w:left="1276" w:hanging="1276"/>
      </w:pPr>
      <w:bookmarkStart w:id="655" w:name="_Toc219706237"/>
      <w:proofErr w:type="spellStart"/>
      <w:r>
        <w:lastRenderedPageBreak/>
        <w:t>Dispositifs</w:t>
      </w:r>
      <w:proofErr w:type="spellEnd"/>
      <w:r>
        <w:t xml:space="preserve"> de signalisation</w:t>
      </w:r>
      <w:r w:rsidR="000D2E74">
        <w:t xml:space="preserve"> </w:t>
      </w:r>
      <w:proofErr w:type="spellStart"/>
      <w:r w:rsidR="000D2E74">
        <w:t>sonores</w:t>
      </w:r>
      <w:bookmarkEnd w:id="655"/>
      <w:proofErr w:type="spellEnd"/>
    </w:p>
    <w:p w14:paraId="3144E4BE" w14:textId="7432B629" w:rsidR="003012A3" w:rsidRDefault="003012A3" w:rsidP="003012A3">
      <w:pPr>
        <w:pStyle w:val="Heading3"/>
      </w:pPr>
      <w:bookmarkStart w:id="656" w:name="_Toc219706238"/>
      <w:proofErr w:type="spellStart"/>
      <w:r>
        <w:t>Général</w:t>
      </w:r>
      <w:bookmarkEnd w:id="656"/>
      <w:proofErr w:type="spellEnd"/>
    </w:p>
    <w:p w14:paraId="11CED400" w14:textId="304C07C0" w:rsidR="00F12A61" w:rsidRPr="000A7695" w:rsidRDefault="00F12A61" w:rsidP="00F12A61">
      <w:pPr>
        <w:rPr>
          <w:lang w:val="fr-CA"/>
        </w:rPr>
      </w:pPr>
      <w:r w:rsidRPr="000A7695">
        <w:rPr>
          <w:lang w:val="fr-CA"/>
        </w:rPr>
        <w:t xml:space="preserve">Les </w:t>
      </w:r>
      <w:r w:rsidR="00845182">
        <w:rPr>
          <w:lang w:val="fr-CA"/>
        </w:rPr>
        <w:t>dispositifs de signalisation</w:t>
      </w:r>
      <w:r w:rsidRPr="000A7695">
        <w:rPr>
          <w:lang w:val="fr-CA"/>
        </w:rPr>
        <w:t xml:space="preserve"> sonores fournissent des informations supplémentaires, généralement présentes sur les panneaux imprimés ou en braille/tactile</w:t>
      </w:r>
      <w:r w:rsidR="00892FDE">
        <w:rPr>
          <w:lang w:val="fr-CA"/>
        </w:rPr>
        <w:t>s</w:t>
      </w:r>
      <w:r w:rsidRPr="000A7695">
        <w:rPr>
          <w:lang w:val="fr-CA"/>
        </w:rPr>
        <w:t xml:space="preserve">. Selon la situation, </w:t>
      </w:r>
      <w:r w:rsidR="0090476A">
        <w:rPr>
          <w:lang w:val="fr-CA"/>
        </w:rPr>
        <w:t>ils</w:t>
      </w:r>
      <w:r w:rsidRPr="000A7695">
        <w:rPr>
          <w:lang w:val="fr-CA"/>
        </w:rPr>
        <w:t xml:space="preserve"> peuvent être prononcés en temps réel ou activés d</w:t>
      </w:r>
      <w:r w:rsidR="00AB16E8">
        <w:rPr>
          <w:lang w:val="fr-CA"/>
        </w:rPr>
        <w:t>’</w:t>
      </w:r>
      <w:r w:rsidRPr="000A7695">
        <w:rPr>
          <w:lang w:val="fr-CA"/>
        </w:rPr>
        <w:t>une simple pression sur un bouton.</w:t>
      </w:r>
    </w:p>
    <w:p w14:paraId="46A7BE72" w14:textId="269B48D8" w:rsidR="00F12A61" w:rsidRPr="000A7695" w:rsidRDefault="00F12A61" w:rsidP="00F12A61">
      <w:pPr>
        <w:rPr>
          <w:lang w:val="fr-CA"/>
        </w:rPr>
      </w:pPr>
      <w:r w:rsidRPr="000A7695">
        <w:rPr>
          <w:lang w:val="fr-CA"/>
        </w:rPr>
        <w:t xml:space="preserve">Les </w:t>
      </w:r>
      <w:r w:rsidR="00845182">
        <w:rPr>
          <w:lang w:val="fr-CA"/>
        </w:rPr>
        <w:t>dispositifs de signalisation</w:t>
      </w:r>
      <w:r w:rsidRPr="000A7695">
        <w:rPr>
          <w:lang w:val="fr-CA"/>
        </w:rPr>
        <w:t xml:space="preserve"> sonores doivent</w:t>
      </w:r>
      <w:r w:rsidR="001C5600">
        <w:rPr>
          <w:lang w:val="fr-CA"/>
        </w:rPr>
        <w:t> </w:t>
      </w:r>
      <w:r w:rsidRPr="000A7695">
        <w:rPr>
          <w:lang w:val="fr-CA"/>
        </w:rPr>
        <w:t>:</w:t>
      </w:r>
    </w:p>
    <w:p w14:paraId="41452BE9" w14:textId="24BB6588" w:rsidR="00F12A61" w:rsidRPr="000A7695" w:rsidRDefault="006842C3" w:rsidP="003F66F0">
      <w:pPr>
        <w:pStyle w:val="ListRef"/>
        <w:numPr>
          <w:ilvl w:val="0"/>
          <w:numId w:val="57"/>
        </w:numPr>
        <w:rPr>
          <w:lang w:val="fr-CA"/>
        </w:rPr>
      </w:pPr>
      <w:proofErr w:type="gramStart"/>
      <w:r>
        <w:rPr>
          <w:lang w:val="fr-CA"/>
        </w:rPr>
        <w:t>être</w:t>
      </w:r>
      <w:proofErr w:type="gramEnd"/>
      <w:r>
        <w:rPr>
          <w:lang w:val="fr-CA"/>
        </w:rPr>
        <w:t xml:space="preserve"> </w:t>
      </w:r>
      <w:r w:rsidR="00F12A61" w:rsidRPr="000A7695">
        <w:rPr>
          <w:lang w:val="fr-CA"/>
        </w:rPr>
        <w:t xml:space="preserve">suffisamment fort pour être facilement entendu, le volume peut devoir être augmenté selon le niveau de bruit ambiant </w:t>
      </w:r>
      <w:r w:rsidR="00644D5C">
        <w:rPr>
          <w:lang w:val="fr-CA"/>
        </w:rPr>
        <w:t>conforme</w:t>
      </w:r>
      <w:r w:rsidR="009A73CC">
        <w:rPr>
          <w:lang w:val="fr-CA"/>
        </w:rPr>
        <w:t xml:space="preserve"> </w:t>
      </w:r>
      <w:r w:rsidR="00644D5C">
        <w:rPr>
          <w:lang w:val="fr-CA"/>
        </w:rPr>
        <w:t xml:space="preserve">à </w:t>
      </w:r>
      <w:r w:rsidR="00F12A61" w:rsidRPr="000A7695">
        <w:rPr>
          <w:lang w:val="fr-CA"/>
        </w:rPr>
        <w:t>l</w:t>
      </w:r>
      <w:r w:rsidR="00BF0369">
        <w:rPr>
          <w:lang w:val="fr-CA"/>
        </w:rPr>
        <w:t>’article</w:t>
      </w:r>
      <w:r w:rsidR="00F12A61" w:rsidRPr="000A7695">
        <w:rPr>
          <w:lang w:val="fr-CA"/>
        </w:rPr>
        <w:t xml:space="preserve"> </w:t>
      </w:r>
      <w:r w:rsidR="00041B1E">
        <w:fldChar w:fldCharType="begin"/>
      </w:r>
      <w:r w:rsidR="00041B1E" w:rsidRPr="007C0FBA">
        <w:rPr>
          <w:lang w:val="fr-CA"/>
        </w:rPr>
        <w:instrText>HYPERLINK \l "_Audible_signage_performance"</w:instrText>
      </w:r>
      <w:r w:rsidR="00041B1E">
        <w:fldChar w:fldCharType="separate"/>
      </w:r>
      <w:r w:rsidR="00041B1E" w:rsidRPr="000A7695">
        <w:rPr>
          <w:rStyle w:val="Hyperlink"/>
          <w:lang w:val="fr-CA"/>
        </w:rPr>
        <w:t>1</w:t>
      </w:r>
      <w:r w:rsidR="009A73CC">
        <w:rPr>
          <w:rStyle w:val="Hyperlink"/>
          <w:lang w:val="fr-CA"/>
        </w:rPr>
        <w:t>2</w:t>
      </w:r>
      <w:r w:rsidR="00041B1E" w:rsidRPr="000A7695">
        <w:rPr>
          <w:rStyle w:val="Hyperlink"/>
          <w:lang w:val="fr-CA"/>
        </w:rPr>
        <w:t>.10.3</w:t>
      </w:r>
      <w:r w:rsidR="00041B1E">
        <w:fldChar w:fldCharType="end"/>
      </w:r>
      <w:r w:rsidR="00F12A61" w:rsidRPr="000A7695">
        <w:rPr>
          <w:lang w:val="fr-CA"/>
        </w:rPr>
        <w:t>; et</w:t>
      </w:r>
    </w:p>
    <w:p w14:paraId="7793257E" w14:textId="6DC6CAAF" w:rsidR="00F12A61" w:rsidRPr="00877353" w:rsidRDefault="00BF0369" w:rsidP="00F12A61">
      <w:pPr>
        <w:pStyle w:val="ListRef"/>
        <w:ind w:left="1066" w:firstLine="0"/>
        <w:rPr>
          <w:lang w:val="fr-CA"/>
        </w:rPr>
      </w:pPr>
      <w:r>
        <w:rPr>
          <w:rStyle w:val="EmphasisUseSparingly"/>
          <w:lang w:val="fr-CA"/>
        </w:rPr>
        <w:t>Remarque</w:t>
      </w:r>
      <w:r w:rsidR="001C5600">
        <w:rPr>
          <w:lang w:val="fr-CA"/>
        </w:rPr>
        <w:t> </w:t>
      </w:r>
      <w:r w:rsidR="00F12A61" w:rsidRPr="00877353">
        <w:rPr>
          <w:lang w:val="fr-CA"/>
        </w:rPr>
        <w:t>: Les niveaux de bruit ambiant varient, il faut donc tenir compte de la plage de bruit ambiant. L</w:t>
      </w:r>
      <w:r w:rsidR="00AB16E8">
        <w:rPr>
          <w:lang w:val="fr-CA"/>
        </w:rPr>
        <w:t>’</w:t>
      </w:r>
      <w:r w:rsidR="00F12A61" w:rsidRPr="00877353">
        <w:rPr>
          <w:lang w:val="fr-CA"/>
        </w:rPr>
        <w:t>objectif est de s</w:t>
      </w:r>
      <w:r w:rsidR="00AB16E8">
        <w:rPr>
          <w:lang w:val="fr-CA"/>
        </w:rPr>
        <w:t>’</w:t>
      </w:r>
      <w:r w:rsidR="00F12A61" w:rsidRPr="00877353">
        <w:rPr>
          <w:lang w:val="fr-CA"/>
        </w:rPr>
        <w:t>assurer que le</w:t>
      </w:r>
      <w:r w:rsidR="00D93228">
        <w:rPr>
          <w:lang w:val="fr-CA"/>
        </w:rPr>
        <w:t xml:space="preserve"> </w:t>
      </w:r>
      <w:r w:rsidR="00DC28F4">
        <w:rPr>
          <w:lang w:val="fr-CA"/>
        </w:rPr>
        <w:t>dispositif de signalisation</w:t>
      </w:r>
      <w:r w:rsidR="00F12A61" w:rsidRPr="00877353">
        <w:rPr>
          <w:lang w:val="fr-CA"/>
        </w:rPr>
        <w:t xml:space="preserve"> sonore soit clairement entendu en tout temps par l</w:t>
      </w:r>
      <w:r w:rsidR="00AB16E8">
        <w:rPr>
          <w:lang w:val="fr-CA"/>
        </w:rPr>
        <w:t>’</w:t>
      </w:r>
      <w:r w:rsidR="00F12A61" w:rsidRPr="00877353">
        <w:rPr>
          <w:lang w:val="fr-CA"/>
        </w:rPr>
        <w:t>utilisateur visé.</w:t>
      </w:r>
    </w:p>
    <w:p w14:paraId="631243D7" w14:textId="164CDCB7" w:rsidR="00F12A61" w:rsidRPr="000A7695" w:rsidRDefault="005F65D8" w:rsidP="003F66F0">
      <w:pPr>
        <w:pStyle w:val="ListRef"/>
        <w:numPr>
          <w:ilvl w:val="0"/>
          <w:numId w:val="57"/>
        </w:numPr>
        <w:rPr>
          <w:lang w:val="fr-CA"/>
        </w:rPr>
      </w:pPr>
      <w:proofErr w:type="gramStart"/>
      <w:r>
        <w:rPr>
          <w:lang w:val="fr-CA"/>
        </w:rPr>
        <w:t>être</w:t>
      </w:r>
      <w:proofErr w:type="gramEnd"/>
      <w:r w:rsidR="00F12A61" w:rsidRPr="000A7695">
        <w:rPr>
          <w:lang w:val="fr-CA"/>
        </w:rPr>
        <w:t xml:space="preserve"> fonctionnel pendant une panne de courant.</w:t>
      </w:r>
    </w:p>
    <w:p w14:paraId="4EC16CB1" w14:textId="1FA61B54" w:rsidR="00F12A61" w:rsidRPr="000A7695" w:rsidRDefault="00410417" w:rsidP="00F12A61">
      <w:pPr>
        <w:rPr>
          <w:lang w:val="fr-CA"/>
        </w:rPr>
      </w:pPr>
      <w:r>
        <w:rPr>
          <w:rStyle w:val="EmphasisUseSparingly"/>
          <w:lang w:val="fr-CA"/>
        </w:rPr>
        <w:t>Remarque</w:t>
      </w:r>
      <w:r w:rsidR="001C5600">
        <w:rPr>
          <w:rStyle w:val="EmphasisUseSparingly"/>
          <w:lang w:val="fr-CA"/>
        </w:rPr>
        <w:t> </w:t>
      </w:r>
      <w:r w:rsidR="00F12A61" w:rsidRPr="000A7695">
        <w:rPr>
          <w:rStyle w:val="EmphasisUseSparingly"/>
          <w:lang w:val="fr-CA"/>
        </w:rPr>
        <w:t xml:space="preserve">: </w:t>
      </w:r>
      <w:r w:rsidR="00F12A61" w:rsidRPr="000A7695">
        <w:rPr>
          <w:lang w:val="fr-CA"/>
        </w:rPr>
        <w:t xml:space="preserve">Un message audio peut être utilisé en plus du braille </w:t>
      </w:r>
      <w:r w:rsidR="007A4852">
        <w:rPr>
          <w:lang w:val="fr-CA"/>
        </w:rPr>
        <w:t xml:space="preserve">si </w:t>
      </w:r>
      <w:r w:rsidR="00BC53B2">
        <w:rPr>
          <w:lang w:val="fr-CA"/>
        </w:rPr>
        <w:t>c</w:t>
      </w:r>
      <w:r w:rsidR="00AB16E8">
        <w:rPr>
          <w:lang w:val="fr-CA"/>
        </w:rPr>
        <w:t>’</w:t>
      </w:r>
      <w:r w:rsidR="00BC53B2">
        <w:rPr>
          <w:lang w:val="fr-CA"/>
        </w:rPr>
        <w:t>est possible</w:t>
      </w:r>
      <w:r w:rsidR="00F12A61" w:rsidRPr="000A7695">
        <w:rPr>
          <w:lang w:val="fr-CA"/>
        </w:rPr>
        <w:t>.</w:t>
      </w:r>
    </w:p>
    <w:p w14:paraId="3C5EE286" w14:textId="40FD8A91" w:rsidR="003012A3" w:rsidRPr="00DC28F4" w:rsidRDefault="00C234B3" w:rsidP="00C234B3">
      <w:pPr>
        <w:pStyle w:val="Heading3"/>
        <w:rPr>
          <w:lang w:val="fr-CA"/>
        </w:rPr>
      </w:pPr>
      <w:bookmarkStart w:id="657" w:name="_Usage_of_audible"/>
      <w:bookmarkStart w:id="658" w:name="_Toc219706239"/>
      <w:bookmarkEnd w:id="657"/>
      <w:r w:rsidRPr="00DC28F4">
        <w:rPr>
          <w:lang w:val="fr-CA"/>
        </w:rPr>
        <w:t xml:space="preserve">Utilisation des </w:t>
      </w:r>
      <w:r w:rsidR="00DC28F4" w:rsidRPr="00DC28F4">
        <w:rPr>
          <w:lang w:val="fr-CA"/>
        </w:rPr>
        <w:t>dispositifs de signalisation</w:t>
      </w:r>
      <w:r w:rsidRPr="00DC28F4">
        <w:rPr>
          <w:lang w:val="fr-CA"/>
        </w:rPr>
        <w:t xml:space="preserve"> sonores</w:t>
      </w:r>
      <w:bookmarkEnd w:id="658"/>
    </w:p>
    <w:p w14:paraId="711453E7" w14:textId="1DAC2FA6" w:rsidR="00C234B3" w:rsidRPr="00EA3850" w:rsidRDefault="00C234B3" w:rsidP="00C234B3">
      <w:pPr>
        <w:pStyle w:val="ListRef"/>
        <w:rPr>
          <w:lang w:val="fr-CA"/>
        </w:rPr>
      </w:pPr>
      <w:r w:rsidRPr="00EA3850">
        <w:rPr>
          <w:lang w:val="fr-CA"/>
        </w:rPr>
        <w:t xml:space="preserve">Les </w:t>
      </w:r>
      <w:r w:rsidR="00DC28F4">
        <w:rPr>
          <w:lang w:val="fr-CA"/>
        </w:rPr>
        <w:t>dispositifs de signalisation</w:t>
      </w:r>
      <w:r w:rsidRPr="00EA3850">
        <w:rPr>
          <w:lang w:val="fr-CA"/>
        </w:rPr>
        <w:t xml:space="preserve"> sonores doivent être utilisés pour</w:t>
      </w:r>
      <w:r w:rsidR="004A0CDA">
        <w:rPr>
          <w:lang w:val="fr-CA"/>
        </w:rPr>
        <w:t> </w:t>
      </w:r>
      <w:r w:rsidRPr="00EA3850">
        <w:rPr>
          <w:lang w:val="fr-CA"/>
        </w:rPr>
        <w:t>:</w:t>
      </w:r>
    </w:p>
    <w:p w14:paraId="59E82D8F" w14:textId="485A9760" w:rsidR="00F32554" w:rsidRPr="00EA3850" w:rsidRDefault="00C234B3" w:rsidP="003F66F0">
      <w:pPr>
        <w:pStyle w:val="ListRef"/>
        <w:numPr>
          <w:ilvl w:val="0"/>
          <w:numId w:val="58"/>
        </w:numPr>
        <w:rPr>
          <w:lang w:val="fr-CA"/>
        </w:rPr>
      </w:pPr>
      <w:proofErr w:type="gramStart"/>
      <w:r w:rsidRPr="00EA3850">
        <w:rPr>
          <w:lang w:val="fr-CA"/>
        </w:rPr>
        <w:t>transmettre</w:t>
      </w:r>
      <w:proofErr w:type="gramEnd"/>
      <w:r w:rsidRPr="00EA3850">
        <w:rPr>
          <w:lang w:val="fr-CA"/>
        </w:rPr>
        <w:t xml:space="preserve"> des informations ou avertissements de sécurité;</w:t>
      </w:r>
    </w:p>
    <w:p w14:paraId="4D721F2B" w14:textId="77777777" w:rsidR="00F32554" w:rsidRPr="00EA3850" w:rsidRDefault="00C234B3" w:rsidP="003F66F0">
      <w:pPr>
        <w:pStyle w:val="ListRef"/>
        <w:numPr>
          <w:ilvl w:val="0"/>
          <w:numId w:val="58"/>
        </w:numPr>
        <w:rPr>
          <w:lang w:val="fr-CA"/>
        </w:rPr>
      </w:pPr>
      <w:proofErr w:type="gramStart"/>
      <w:r w:rsidRPr="00EA3850">
        <w:rPr>
          <w:lang w:val="fr-CA"/>
        </w:rPr>
        <w:t>identifier</w:t>
      </w:r>
      <w:proofErr w:type="gramEnd"/>
      <w:r w:rsidRPr="00EA3850">
        <w:rPr>
          <w:lang w:val="fr-CA"/>
        </w:rPr>
        <w:t xml:space="preserve"> les sorties de secours;</w:t>
      </w:r>
    </w:p>
    <w:p w14:paraId="5AB23995" w14:textId="77777777" w:rsidR="00F32554" w:rsidRDefault="00C234B3" w:rsidP="003F66F0">
      <w:pPr>
        <w:pStyle w:val="ListRef"/>
        <w:numPr>
          <w:ilvl w:val="0"/>
          <w:numId w:val="58"/>
        </w:numPr>
      </w:pPr>
      <w:proofErr w:type="spellStart"/>
      <w:r w:rsidRPr="00B334E5">
        <w:t>indiquer</w:t>
      </w:r>
      <w:proofErr w:type="spellEnd"/>
      <w:r w:rsidRPr="00B334E5">
        <w:t xml:space="preserve"> les </w:t>
      </w:r>
      <w:proofErr w:type="gramStart"/>
      <w:r w:rsidRPr="00B334E5">
        <w:t>toilettes;</w:t>
      </w:r>
      <w:proofErr w:type="gramEnd"/>
    </w:p>
    <w:p w14:paraId="3601277F" w14:textId="77777777" w:rsidR="00F32554" w:rsidRPr="00EA3850" w:rsidRDefault="00C234B3" w:rsidP="003F66F0">
      <w:pPr>
        <w:pStyle w:val="ListRef"/>
        <w:numPr>
          <w:ilvl w:val="0"/>
          <w:numId w:val="58"/>
        </w:numPr>
        <w:rPr>
          <w:lang w:val="fr-CA"/>
        </w:rPr>
      </w:pPr>
      <w:proofErr w:type="gramStart"/>
      <w:r w:rsidRPr="00EA3850">
        <w:rPr>
          <w:lang w:val="fr-CA"/>
        </w:rPr>
        <w:lastRenderedPageBreak/>
        <w:t>identifier</w:t>
      </w:r>
      <w:proofErr w:type="gramEnd"/>
      <w:r w:rsidRPr="00EA3850">
        <w:rPr>
          <w:lang w:val="fr-CA"/>
        </w:rPr>
        <w:t xml:space="preserve"> les principales zones de transport en commun;</w:t>
      </w:r>
    </w:p>
    <w:p w14:paraId="0CB262F6" w14:textId="77777777" w:rsidR="00F32554" w:rsidRPr="00EA3850" w:rsidRDefault="00C234B3" w:rsidP="003F66F0">
      <w:pPr>
        <w:pStyle w:val="ListRef"/>
        <w:numPr>
          <w:ilvl w:val="0"/>
          <w:numId w:val="58"/>
        </w:numPr>
        <w:rPr>
          <w:lang w:val="fr-CA"/>
        </w:rPr>
      </w:pPr>
      <w:proofErr w:type="gramStart"/>
      <w:r w:rsidRPr="00EA3850">
        <w:rPr>
          <w:lang w:val="fr-CA"/>
        </w:rPr>
        <w:t>identifier</w:t>
      </w:r>
      <w:proofErr w:type="gramEnd"/>
      <w:r w:rsidRPr="00EA3850">
        <w:rPr>
          <w:lang w:val="fr-CA"/>
        </w:rPr>
        <w:t xml:space="preserve"> les principaux passages piétonniers et les pôles;</w:t>
      </w:r>
    </w:p>
    <w:p w14:paraId="6F6ACF32" w14:textId="77777777" w:rsidR="00AA4688" w:rsidRPr="00EA3850" w:rsidRDefault="00C234B3" w:rsidP="003F66F0">
      <w:pPr>
        <w:pStyle w:val="ListRef"/>
        <w:numPr>
          <w:ilvl w:val="0"/>
          <w:numId w:val="58"/>
        </w:numPr>
        <w:rPr>
          <w:lang w:val="fr-CA"/>
        </w:rPr>
      </w:pPr>
      <w:proofErr w:type="gramStart"/>
      <w:r w:rsidRPr="00EA3850">
        <w:rPr>
          <w:lang w:val="fr-CA"/>
        </w:rPr>
        <w:t>fournir</w:t>
      </w:r>
      <w:proofErr w:type="gramEnd"/>
      <w:r w:rsidRPr="00EA3850">
        <w:rPr>
          <w:lang w:val="fr-CA"/>
        </w:rPr>
        <w:t xml:space="preserve"> les informations indiquées dans un annuaire de bâtiments;</w:t>
      </w:r>
    </w:p>
    <w:p w14:paraId="3F545A45" w14:textId="77777777" w:rsidR="00AA4688" w:rsidRPr="00EA3850" w:rsidRDefault="00C234B3" w:rsidP="003F66F0">
      <w:pPr>
        <w:pStyle w:val="ListRef"/>
        <w:numPr>
          <w:ilvl w:val="0"/>
          <w:numId w:val="58"/>
        </w:numPr>
        <w:rPr>
          <w:lang w:val="fr-CA"/>
        </w:rPr>
      </w:pPr>
      <w:proofErr w:type="gramStart"/>
      <w:r w:rsidRPr="00EA3850">
        <w:rPr>
          <w:lang w:val="fr-CA"/>
        </w:rPr>
        <w:t>identifier</w:t>
      </w:r>
      <w:proofErr w:type="gramEnd"/>
      <w:r w:rsidRPr="00EA3850">
        <w:rPr>
          <w:lang w:val="fr-CA"/>
        </w:rPr>
        <w:t xml:space="preserve"> les zones de réception et de service; et</w:t>
      </w:r>
    </w:p>
    <w:p w14:paraId="728B7AE3" w14:textId="50B11B35" w:rsidR="00B726A9" w:rsidRPr="00052402" w:rsidRDefault="00BB25BC" w:rsidP="00052402">
      <w:pPr>
        <w:pStyle w:val="ListRef"/>
        <w:numPr>
          <w:ilvl w:val="0"/>
          <w:numId w:val="58"/>
        </w:numPr>
        <w:rPr>
          <w:lang w:val="fr-CA"/>
        </w:rPr>
      </w:pPr>
      <w:proofErr w:type="gramStart"/>
      <w:r>
        <w:rPr>
          <w:lang w:val="fr-CA"/>
        </w:rPr>
        <w:t>i</w:t>
      </w:r>
      <w:r w:rsidR="00C234B3" w:rsidRPr="00EA3850">
        <w:rPr>
          <w:lang w:val="fr-CA"/>
        </w:rPr>
        <w:t>ndique</w:t>
      </w:r>
      <w:r>
        <w:rPr>
          <w:lang w:val="fr-CA"/>
        </w:rPr>
        <w:t>r</w:t>
      </w:r>
      <w:proofErr w:type="gramEnd"/>
      <w:r w:rsidR="00C234B3" w:rsidRPr="00EA3850">
        <w:rPr>
          <w:lang w:val="fr-CA"/>
        </w:rPr>
        <w:t xml:space="preserve"> d</w:t>
      </w:r>
      <w:r w:rsidR="00AB16E8">
        <w:rPr>
          <w:lang w:val="fr-CA"/>
        </w:rPr>
        <w:t>’</w:t>
      </w:r>
      <w:r w:rsidR="00C234B3" w:rsidRPr="00EA3850">
        <w:rPr>
          <w:lang w:val="fr-CA"/>
        </w:rPr>
        <w:t>autres caractéristiques et commodités importantes du site.</w:t>
      </w:r>
    </w:p>
    <w:p w14:paraId="08BA607D" w14:textId="6729404E" w:rsidR="00C234B3" w:rsidRPr="00522079" w:rsidRDefault="00884DEA" w:rsidP="00884DEA">
      <w:pPr>
        <w:pStyle w:val="Heading3"/>
        <w:rPr>
          <w:lang w:val="fr-CA"/>
        </w:rPr>
      </w:pPr>
      <w:bookmarkStart w:id="659" w:name="_Audible_signage_performance"/>
      <w:bookmarkStart w:id="660" w:name="_Toc219706240"/>
      <w:bookmarkEnd w:id="659"/>
      <w:r w:rsidRPr="00522079">
        <w:rPr>
          <w:lang w:val="fr-CA"/>
        </w:rPr>
        <w:t>Performance de la signalisation sonore</w:t>
      </w:r>
      <w:bookmarkEnd w:id="660"/>
    </w:p>
    <w:p w14:paraId="6327CFEF" w14:textId="459D728A" w:rsidR="00884DEA" w:rsidRPr="00EA3850" w:rsidRDefault="00884DEA" w:rsidP="00884DEA">
      <w:pPr>
        <w:rPr>
          <w:lang w:val="fr-CA"/>
        </w:rPr>
      </w:pPr>
      <w:r w:rsidRPr="00EA3850">
        <w:rPr>
          <w:lang w:val="fr-CA"/>
        </w:rPr>
        <w:t xml:space="preserve">Les informations audibles provenant des </w:t>
      </w:r>
      <w:r w:rsidR="00DC28F4">
        <w:rPr>
          <w:lang w:val="fr-CA"/>
        </w:rPr>
        <w:t>dispositifs de signalisation</w:t>
      </w:r>
      <w:r w:rsidRPr="00EA3850">
        <w:rPr>
          <w:lang w:val="fr-CA"/>
        </w:rPr>
        <w:t xml:space="preserve"> sonores d</w:t>
      </w:r>
      <w:r w:rsidR="00FC627B">
        <w:rPr>
          <w:lang w:val="fr-CA"/>
        </w:rPr>
        <w:t>oivent</w:t>
      </w:r>
      <w:r w:rsidR="004A0CDA">
        <w:rPr>
          <w:lang w:val="fr-CA"/>
        </w:rPr>
        <w:t> </w:t>
      </w:r>
      <w:r w:rsidRPr="00EA3850">
        <w:rPr>
          <w:lang w:val="fr-CA"/>
        </w:rPr>
        <w:t>:</w:t>
      </w:r>
    </w:p>
    <w:p w14:paraId="0960F079" w14:textId="0BCA98F3" w:rsidR="00884DEA" w:rsidRPr="00EA3850" w:rsidRDefault="00884DEA" w:rsidP="003F66F0">
      <w:pPr>
        <w:pStyle w:val="ListRef"/>
        <w:numPr>
          <w:ilvl w:val="0"/>
          <w:numId w:val="59"/>
        </w:numPr>
        <w:rPr>
          <w:lang w:val="fr-CA"/>
        </w:rPr>
      </w:pPr>
      <w:proofErr w:type="gramStart"/>
      <w:r w:rsidRPr="00EA3850">
        <w:rPr>
          <w:lang w:val="fr-CA"/>
        </w:rPr>
        <w:t>être</w:t>
      </w:r>
      <w:proofErr w:type="gramEnd"/>
      <w:r w:rsidRPr="00EA3850">
        <w:rPr>
          <w:lang w:val="fr-CA"/>
        </w:rPr>
        <w:t xml:space="preserve"> clair</w:t>
      </w:r>
      <w:r w:rsidR="00795FB4">
        <w:rPr>
          <w:lang w:val="fr-CA"/>
        </w:rPr>
        <w:t>es</w:t>
      </w:r>
      <w:r w:rsidRPr="00EA3850">
        <w:rPr>
          <w:lang w:val="fr-CA"/>
        </w:rPr>
        <w:t xml:space="preserve"> et concis</w:t>
      </w:r>
      <w:r w:rsidR="00795FB4">
        <w:rPr>
          <w:lang w:val="fr-CA"/>
        </w:rPr>
        <w:t>es</w:t>
      </w:r>
      <w:r w:rsidRPr="00EA3850">
        <w:rPr>
          <w:lang w:val="fr-CA"/>
        </w:rPr>
        <w:t xml:space="preserve"> avec un niveau sonore de 60 à 90</w:t>
      </w:r>
      <w:r w:rsidR="003B2C52">
        <w:rPr>
          <w:lang w:val="fr-CA"/>
        </w:rPr>
        <w:t> </w:t>
      </w:r>
      <w:r w:rsidRPr="00EA3850">
        <w:rPr>
          <w:lang w:val="fr-CA"/>
        </w:rPr>
        <w:t>décibels;</w:t>
      </w:r>
    </w:p>
    <w:p w14:paraId="66F613F8" w14:textId="04771421" w:rsidR="00884DEA" w:rsidRPr="00EA3850" w:rsidRDefault="00884DEA" w:rsidP="003F66F0">
      <w:pPr>
        <w:pStyle w:val="ListRef"/>
        <w:numPr>
          <w:ilvl w:val="0"/>
          <w:numId w:val="59"/>
        </w:numPr>
        <w:rPr>
          <w:lang w:val="fr-CA"/>
        </w:rPr>
      </w:pPr>
      <w:proofErr w:type="gramStart"/>
      <w:r w:rsidRPr="00EA3850">
        <w:rPr>
          <w:lang w:val="fr-CA"/>
        </w:rPr>
        <w:t>être</w:t>
      </w:r>
      <w:proofErr w:type="gramEnd"/>
      <w:r w:rsidRPr="00EA3850">
        <w:rPr>
          <w:lang w:val="fr-CA"/>
        </w:rPr>
        <w:t xml:space="preserve"> complétés par des vibrations pour les systèmes d</w:t>
      </w:r>
      <w:r w:rsidR="00AB16E8">
        <w:rPr>
          <w:lang w:val="fr-CA"/>
        </w:rPr>
        <w:t>’</w:t>
      </w:r>
      <w:r w:rsidRPr="00EA3850">
        <w:rPr>
          <w:lang w:val="fr-CA"/>
        </w:rPr>
        <w:t>interphone permettant aux individus d</w:t>
      </w:r>
      <w:r w:rsidR="00AB16E8">
        <w:rPr>
          <w:lang w:val="fr-CA"/>
        </w:rPr>
        <w:t>’</w:t>
      </w:r>
      <w:r w:rsidRPr="00EA3850">
        <w:rPr>
          <w:lang w:val="fr-CA"/>
        </w:rPr>
        <w:t>accéder aux bâtiments de façon autonome; et</w:t>
      </w:r>
    </w:p>
    <w:p w14:paraId="0968EBE9" w14:textId="6892B185" w:rsidR="00884DEA" w:rsidRPr="00EA3850" w:rsidRDefault="00884DEA" w:rsidP="003F66F0">
      <w:pPr>
        <w:pStyle w:val="ListRef"/>
        <w:numPr>
          <w:ilvl w:val="0"/>
          <w:numId w:val="59"/>
        </w:numPr>
        <w:rPr>
          <w:lang w:val="fr-CA"/>
        </w:rPr>
      </w:pPr>
      <w:proofErr w:type="gramStart"/>
      <w:r w:rsidRPr="00EA3850">
        <w:rPr>
          <w:lang w:val="fr-CA"/>
        </w:rPr>
        <w:t>être</w:t>
      </w:r>
      <w:proofErr w:type="gramEnd"/>
      <w:r w:rsidRPr="00EA3850">
        <w:rPr>
          <w:lang w:val="fr-CA"/>
        </w:rPr>
        <w:t xml:space="preserve"> fourni</w:t>
      </w:r>
      <w:r w:rsidR="00584ED3">
        <w:rPr>
          <w:lang w:val="fr-CA"/>
        </w:rPr>
        <w:t>es</w:t>
      </w:r>
      <w:r w:rsidRPr="00EA3850">
        <w:rPr>
          <w:lang w:val="fr-CA"/>
        </w:rPr>
        <w:t xml:space="preserve"> lorsque des affichages visuels sont utilisés pour présenter l</w:t>
      </w:r>
      <w:r w:rsidR="00AB16E8">
        <w:rPr>
          <w:lang w:val="fr-CA"/>
        </w:rPr>
        <w:t>’</w:t>
      </w:r>
      <w:r w:rsidRPr="00EA3850">
        <w:rPr>
          <w:lang w:val="fr-CA"/>
        </w:rPr>
        <w:t>information.</w:t>
      </w:r>
    </w:p>
    <w:p w14:paraId="4E530D08" w14:textId="78F3A983" w:rsidR="00884DEA" w:rsidRPr="00DC28F4" w:rsidRDefault="003F1282" w:rsidP="003F1282">
      <w:pPr>
        <w:pStyle w:val="Heading3"/>
        <w:rPr>
          <w:lang w:val="fr-CA"/>
        </w:rPr>
      </w:pPr>
      <w:bookmarkStart w:id="661" w:name="_Toc219706241"/>
      <w:r w:rsidRPr="00DC28F4">
        <w:rPr>
          <w:lang w:val="fr-CA"/>
        </w:rPr>
        <w:t xml:space="preserve">Activation des </w:t>
      </w:r>
      <w:r w:rsidR="00DC28F4" w:rsidRPr="00DC28F4">
        <w:rPr>
          <w:lang w:val="fr-CA"/>
        </w:rPr>
        <w:t>dispositifs de signalisation</w:t>
      </w:r>
      <w:r w:rsidRPr="00DC28F4">
        <w:rPr>
          <w:lang w:val="fr-CA"/>
        </w:rPr>
        <w:t xml:space="preserve"> sonores</w:t>
      </w:r>
      <w:bookmarkEnd w:id="661"/>
    </w:p>
    <w:p w14:paraId="2FBE19B3" w14:textId="52205343" w:rsidR="003F1282" w:rsidRPr="003F745B" w:rsidRDefault="003F1282" w:rsidP="003F1282">
      <w:pPr>
        <w:rPr>
          <w:lang w:val="fr-CA"/>
        </w:rPr>
      </w:pPr>
      <w:r w:rsidRPr="003F745B">
        <w:rPr>
          <w:lang w:val="fr-CA"/>
        </w:rPr>
        <w:t>L</w:t>
      </w:r>
      <w:r w:rsidR="00AB16E8">
        <w:rPr>
          <w:lang w:val="fr-CA"/>
        </w:rPr>
        <w:t>’</w:t>
      </w:r>
      <w:r w:rsidRPr="003F745B">
        <w:rPr>
          <w:lang w:val="fr-CA"/>
        </w:rPr>
        <w:t>activation des</w:t>
      </w:r>
      <w:r w:rsidR="00DC28F4">
        <w:rPr>
          <w:lang w:val="fr-CA"/>
        </w:rPr>
        <w:t xml:space="preserve"> dispositifs de signalisation</w:t>
      </w:r>
      <w:r w:rsidRPr="003F745B">
        <w:rPr>
          <w:lang w:val="fr-CA"/>
        </w:rPr>
        <w:t xml:space="preserve"> sonores doit</w:t>
      </w:r>
      <w:r w:rsidR="004A0CDA">
        <w:rPr>
          <w:lang w:val="fr-CA"/>
        </w:rPr>
        <w:t> </w:t>
      </w:r>
      <w:r w:rsidRPr="003F745B">
        <w:rPr>
          <w:lang w:val="fr-CA"/>
        </w:rPr>
        <w:t>:</w:t>
      </w:r>
    </w:p>
    <w:p w14:paraId="2AECAD0A" w14:textId="2357F44B" w:rsidR="003F1282" w:rsidRPr="003F745B" w:rsidRDefault="003F1282" w:rsidP="003F66F0">
      <w:pPr>
        <w:pStyle w:val="ListRef"/>
        <w:numPr>
          <w:ilvl w:val="0"/>
          <w:numId w:val="60"/>
        </w:numPr>
        <w:rPr>
          <w:lang w:val="fr-CA"/>
        </w:rPr>
      </w:pPr>
      <w:proofErr w:type="gramStart"/>
      <w:r w:rsidRPr="003F745B">
        <w:rPr>
          <w:lang w:val="fr-CA"/>
        </w:rPr>
        <w:t>être</w:t>
      </w:r>
      <w:proofErr w:type="gramEnd"/>
      <w:r w:rsidRPr="003F745B">
        <w:rPr>
          <w:lang w:val="fr-CA"/>
        </w:rPr>
        <w:t xml:space="preserve"> automatique lorsque des informations audibles sont transmise</w:t>
      </w:r>
      <w:r w:rsidR="00892FDE">
        <w:rPr>
          <w:lang w:val="fr-CA"/>
        </w:rPr>
        <w:t>s</w:t>
      </w:r>
      <w:r w:rsidRPr="003F745B">
        <w:rPr>
          <w:lang w:val="fr-CA"/>
        </w:rPr>
        <w:t xml:space="preserve"> dans une zone publique à fort</w:t>
      </w:r>
      <w:r w:rsidR="00EC27E9">
        <w:rPr>
          <w:lang w:val="fr-CA"/>
        </w:rPr>
        <w:t>e circulation</w:t>
      </w:r>
      <w:r w:rsidRPr="003F745B">
        <w:rPr>
          <w:lang w:val="fr-CA"/>
        </w:rPr>
        <w:t>; et</w:t>
      </w:r>
    </w:p>
    <w:p w14:paraId="0F04AC94" w14:textId="5B33D97B" w:rsidR="003F1282" w:rsidRPr="003F745B" w:rsidRDefault="00BC5119" w:rsidP="003F66F0">
      <w:pPr>
        <w:pStyle w:val="ListRef"/>
        <w:numPr>
          <w:ilvl w:val="0"/>
          <w:numId w:val="60"/>
        </w:numPr>
        <w:rPr>
          <w:rStyle w:val="EmphasisUseSparingly"/>
          <w:b w:val="0"/>
          <w:lang w:val="fr-CA"/>
        </w:rPr>
      </w:pPr>
      <w:proofErr w:type="gramStart"/>
      <w:r>
        <w:rPr>
          <w:lang w:val="fr-CA"/>
        </w:rPr>
        <w:t>p</w:t>
      </w:r>
      <w:r w:rsidR="003F1282" w:rsidRPr="003F745B">
        <w:rPr>
          <w:lang w:val="fr-CA"/>
        </w:rPr>
        <w:t>ermettre</w:t>
      </w:r>
      <w:proofErr w:type="gramEnd"/>
      <w:r w:rsidR="003F1282" w:rsidRPr="003F745B">
        <w:rPr>
          <w:lang w:val="fr-CA"/>
        </w:rPr>
        <w:t xml:space="preserve"> aux utilisateurs de les activer facilement lorsqu</w:t>
      </w:r>
      <w:r w:rsidR="00AB16E8">
        <w:rPr>
          <w:lang w:val="fr-CA"/>
        </w:rPr>
        <w:t>’</w:t>
      </w:r>
      <w:r w:rsidR="003F1282" w:rsidRPr="003F745B">
        <w:rPr>
          <w:lang w:val="fr-CA"/>
        </w:rPr>
        <w:t xml:space="preserve">ils sont </w:t>
      </w:r>
      <w:r w:rsidR="003F3866">
        <w:rPr>
          <w:lang w:val="fr-CA"/>
        </w:rPr>
        <w:t xml:space="preserve">mis </w:t>
      </w:r>
      <w:r w:rsidR="003F1282" w:rsidRPr="003F745B">
        <w:rPr>
          <w:lang w:val="fr-CA"/>
        </w:rPr>
        <w:t>en mode silencieux s</w:t>
      </w:r>
      <w:r w:rsidR="00AB16E8">
        <w:rPr>
          <w:lang w:val="fr-CA"/>
        </w:rPr>
        <w:t>’</w:t>
      </w:r>
      <w:r w:rsidR="003F1282" w:rsidRPr="003F745B">
        <w:rPr>
          <w:lang w:val="fr-CA"/>
        </w:rPr>
        <w:t>ils ne se trouvent pas dans une zone publique</w:t>
      </w:r>
      <w:r w:rsidR="00CA05DC">
        <w:rPr>
          <w:lang w:val="fr-CA"/>
        </w:rPr>
        <w:t xml:space="preserve"> très fréquentée</w:t>
      </w:r>
      <w:r w:rsidR="003F1282" w:rsidRPr="003F745B">
        <w:rPr>
          <w:lang w:val="fr-CA"/>
        </w:rPr>
        <w:t>.</w:t>
      </w:r>
    </w:p>
    <w:p w14:paraId="415D5C91" w14:textId="1D003DD8" w:rsidR="003F1282" w:rsidRPr="003F745B" w:rsidRDefault="00851257" w:rsidP="003F1282">
      <w:pPr>
        <w:pStyle w:val="ListRef"/>
        <w:ind w:left="0" w:firstLine="0"/>
        <w:rPr>
          <w:rStyle w:val="EmphasisUseSparingly"/>
          <w:lang w:val="fr-CA"/>
        </w:rPr>
      </w:pPr>
      <w:r>
        <w:rPr>
          <w:rStyle w:val="EmphasisUseSparingly"/>
          <w:lang w:val="fr-CA"/>
        </w:rPr>
        <w:lastRenderedPageBreak/>
        <w:t>Remarque</w:t>
      </w:r>
      <w:r w:rsidR="003F1282" w:rsidRPr="003F745B">
        <w:rPr>
          <w:rStyle w:val="EmphasisUseSparingly"/>
          <w:lang w:val="fr-CA"/>
        </w:rPr>
        <w:t xml:space="preserve"> 1</w:t>
      </w:r>
      <w:r w:rsidR="004A0CDA">
        <w:rPr>
          <w:rStyle w:val="EmphasisUseSparingly"/>
          <w:lang w:val="fr-CA"/>
        </w:rPr>
        <w:t> </w:t>
      </w:r>
      <w:r w:rsidR="003F1282" w:rsidRPr="003F745B">
        <w:rPr>
          <w:lang w:val="fr-CA"/>
        </w:rPr>
        <w:t>: L</w:t>
      </w:r>
      <w:r w:rsidR="00AB16E8">
        <w:rPr>
          <w:lang w:val="fr-CA"/>
        </w:rPr>
        <w:t>’</w:t>
      </w:r>
      <w:r w:rsidR="003F1282" w:rsidRPr="003F745B">
        <w:rPr>
          <w:lang w:val="fr-CA"/>
        </w:rPr>
        <w:t>activation automatique est préférée, surtout lorsque le bouton pour activer l</w:t>
      </w:r>
      <w:r w:rsidR="00AB16E8">
        <w:rPr>
          <w:lang w:val="fr-CA"/>
        </w:rPr>
        <w:t>’</w:t>
      </w:r>
      <w:r w:rsidR="003F1282" w:rsidRPr="003F745B">
        <w:rPr>
          <w:lang w:val="fr-CA"/>
        </w:rPr>
        <w:t>information audible est difficile à localiser ou que l</w:t>
      </w:r>
      <w:r w:rsidR="00AB16E8">
        <w:rPr>
          <w:lang w:val="fr-CA"/>
        </w:rPr>
        <w:t>’</w:t>
      </w:r>
      <w:r w:rsidR="003F1282" w:rsidRPr="003F745B">
        <w:rPr>
          <w:lang w:val="fr-CA"/>
        </w:rPr>
        <w:t>information doit être fournie rapidement.</w:t>
      </w:r>
    </w:p>
    <w:p w14:paraId="6A143A3F" w14:textId="0F9FA185" w:rsidR="00C301F7" w:rsidRDefault="0096659D" w:rsidP="000B1DC2">
      <w:pPr>
        <w:rPr>
          <w:lang w:val="fr-CA"/>
        </w:rPr>
      </w:pPr>
      <w:r>
        <w:rPr>
          <w:rStyle w:val="EmphasisUseSparingly"/>
          <w:lang w:val="fr-CA"/>
        </w:rPr>
        <w:t>Remarque</w:t>
      </w:r>
      <w:r w:rsidR="003F1282" w:rsidRPr="003F745B">
        <w:rPr>
          <w:rStyle w:val="EmphasisUseSparingly"/>
          <w:lang w:val="fr-CA"/>
        </w:rPr>
        <w:t xml:space="preserve"> 2</w:t>
      </w:r>
      <w:r w:rsidR="004A0CDA">
        <w:rPr>
          <w:rStyle w:val="EmphasisUseSparingly"/>
          <w:lang w:val="fr-CA"/>
        </w:rPr>
        <w:t> </w:t>
      </w:r>
      <w:r w:rsidR="003F1282" w:rsidRPr="003F745B">
        <w:rPr>
          <w:rStyle w:val="EmphasisUseSparingly"/>
          <w:lang w:val="fr-CA"/>
        </w:rPr>
        <w:t xml:space="preserve">: </w:t>
      </w:r>
      <w:r w:rsidR="003F1282" w:rsidRPr="003F745B">
        <w:rPr>
          <w:lang w:val="fr-CA"/>
        </w:rPr>
        <w:t xml:space="preserve">Les </w:t>
      </w:r>
      <w:r w:rsidR="00DC28F4">
        <w:rPr>
          <w:lang w:val="fr-CA"/>
        </w:rPr>
        <w:t>dispositifs de signalisation</w:t>
      </w:r>
      <w:r w:rsidR="003F1282" w:rsidRPr="003F745B">
        <w:rPr>
          <w:lang w:val="fr-CA"/>
        </w:rPr>
        <w:t xml:space="preserve"> sonores peuvent être équipés d</w:t>
      </w:r>
      <w:r w:rsidR="00AB16E8">
        <w:rPr>
          <w:lang w:val="fr-CA"/>
        </w:rPr>
        <w:t>’</w:t>
      </w:r>
      <w:r w:rsidR="003F1282" w:rsidRPr="003F745B">
        <w:rPr>
          <w:lang w:val="fr-CA"/>
        </w:rPr>
        <w:t>une prise audio ou fournir une connectivité Bluetooth pour restreindre le bruit ambiant dans l</w:t>
      </w:r>
      <w:r w:rsidR="00AB16E8">
        <w:rPr>
          <w:lang w:val="fr-CA"/>
        </w:rPr>
        <w:t>’</w:t>
      </w:r>
      <w:r w:rsidR="003F1282" w:rsidRPr="003F745B">
        <w:rPr>
          <w:lang w:val="fr-CA"/>
        </w:rPr>
        <w:t>environnement, si approprié.</w:t>
      </w:r>
    </w:p>
    <w:p w14:paraId="0F6EFBC9" w14:textId="775B8C6F" w:rsidR="003F1282" w:rsidRDefault="00C20A72" w:rsidP="00C20A72">
      <w:pPr>
        <w:pStyle w:val="Heading3"/>
      </w:pPr>
      <w:bookmarkStart w:id="662" w:name="_Toc219706242"/>
      <w:proofErr w:type="spellStart"/>
      <w:r>
        <w:t>Ascenseurs</w:t>
      </w:r>
      <w:bookmarkEnd w:id="662"/>
      <w:proofErr w:type="spellEnd"/>
    </w:p>
    <w:p w14:paraId="003B1120" w14:textId="18A4D903" w:rsidR="00C20A72" w:rsidRPr="00C301F7" w:rsidRDefault="00C20A72" w:rsidP="00FF038A">
      <w:pPr>
        <w:pStyle w:val="ListRef"/>
        <w:ind w:left="0" w:firstLine="0"/>
        <w:rPr>
          <w:lang w:val="fr-CA"/>
        </w:rPr>
      </w:pPr>
      <w:r w:rsidRPr="00C301F7">
        <w:rPr>
          <w:lang w:val="fr-CA"/>
        </w:rPr>
        <w:t xml:space="preserve">Les </w:t>
      </w:r>
      <w:r w:rsidR="00DC28F4">
        <w:rPr>
          <w:lang w:val="fr-CA"/>
        </w:rPr>
        <w:t>dispositifs de signalisation</w:t>
      </w:r>
      <w:r w:rsidRPr="00C301F7">
        <w:rPr>
          <w:lang w:val="fr-CA"/>
        </w:rPr>
        <w:t xml:space="preserve"> sonores dans les ascenseurs doivent utiliser des indications vocales pour indiquer</w:t>
      </w:r>
      <w:r w:rsidR="004A0CDA">
        <w:rPr>
          <w:lang w:val="fr-CA"/>
        </w:rPr>
        <w:t> </w:t>
      </w:r>
      <w:r w:rsidRPr="00C301F7">
        <w:rPr>
          <w:lang w:val="fr-CA"/>
        </w:rPr>
        <w:t>:</w:t>
      </w:r>
    </w:p>
    <w:p w14:paraId="5E8FDBF0" w14:textId="77777777" w:rsidR="00C20A72" w:rsidRPr="00C301F7" w:rsidRDefault="00C20A72" w:rsidP="003F66F0">
      <w:pPr>
        <w:pStyle w:val="ListRef"/>
        <w:numPr>
          <w:ilvl w:val="0"/>
          <w:numId w:val="61"/>
        </w:numPr>
        <w:rPr>
          <w:lang w:val="fr-CA"/>
        </w:rPr>
      </w:pPr>
      <w:proofErr w:type="gramStart"/>
      <w:r w:rsidRPr="00C301F7">
        <w:rPr>
          <w:lang w:val="fr-CA"/>
        </w:rPr>
        <w:t>si</w:t>
      </w:r>
      <w:proofErr w:type="gramEnd"/>
      <w:r w:rsidRPr="00C301F7">
        <w:rPr>
          <w:lang w:val="fr-CA"/>
        </w:rPr>
        <w:t xml:space="preserve"> les portes sont ouvertes ou fermées;</w:t>
      </w:r>
    </w:p>
    <w:p w14:paraId="42232A9F" w14:textId="748806E7" w:rsidR="00C20A72" w:rsidRPr="00C301F7" w:rsidRDefault="00C20A72" w:rsidP="003F66F0">
      <w:pPr>
        <w:pStyle w:val="ListRef"/>
        <w:numPr>
          <w:ilvl w:val="0"/>
          <w:numId w:val="61"/>
        </w:numPr>
        <w:rPr>
          <w:lang w:val="fr-CA"/>
        </w:rPr>
      </w:pPr>
      <w:proofErr w:type="gramStart"/>
      <w:r w:rsidRPr="00C301F7">
        <w:rPr>
          <w:lang w:val="fr-CA"/>
        </w:rPr>
        <w:t>si</w:t>
      </w:r>
      <w:proofErr w:type="gramEnd"/>
      <w:r w:rsidRPr="00C301F7">
        <w:rPr>
          <w:lang w:val="fr-CA"/>
        </w:rPr>
        <w:t xml:space="preserve"> l</w:t>
      </w:r>
      <w:r w:rsidR="00AB16E8">
        <w:rPr>
          <w:lang w:val="fr-CA"/>
        </w:rPr>
        <w:t>’</w:t>
      </w:r>
      <w:r w:rsidRPr="00C301F7">
        <w:rPr>
          <w:lang w:val="fr-CA"/>
        </w:rPr>
        <w:t>ascenseur monte ou descend; et</w:t>
      </w:r>
    </w:p>
    <w:p w14:paraId="383176F6" w14:textId="514F31B1" w:rsidR="00C20A72" w:rsidRPr="00C301F7" w:rsidRDefault="00FF038A" w:rsidP="003F66F0">
      <w:pPr>
        <w:pStyle w:val="ListRef"/>
        <w:numPr>
          <w:ilvl w:val="0"/>
          <w:numId w:val="61"/>
        </w:numPr>
        <w:rPr>
          <w:lang w:val="fr-CA"/>
        </w:rPr>
      </w:pPr>
      <w:proofErr w:type="gramStart"/>
      <w:r>
        <w:rPr>
          <w:lang w:val="fr-CA"/>
        </w:rPr>
        <w:t>à</w:t>
      </w:r>
      <w:proofErr w:type="gramEnd"/>
      <w:r w:rsidR="00C20A72" w:rsidRPr="00C301F7">
        <w:rPr>
          <w:lang w:val="fr-CA"/>
        </w:rPr>
        <w:t xml:space="preserve"> quel étage l</w:t>
      </w:r>
      <w:r w:rsidR="00AB16E8">
        <w:rPr>
          <w:lang w:val="fr-CA"/>
        </w:rPr>
        <w:t>’</w:t>
      </w:r>
      <w:r w:rsidR="00C20A72" w:rsidRPr="00C301F7">
        <w:rPr>
          <w:lang w:val="fr-CA"/>
        </w:rPr>
        <w:t>ascenseur s</w:t>
      </w:r>
      <w:r w:rsidR="00AB16E8">
        <w:rPr>
          <w:lang w:val="fr-CA"/>
        </w:rPr>
        <w:t>’</w:t>
      </w:r>
      <w:r w:rsidR="00C20A72" w:rsidRPr="00C301F7">
        <w:rPr>
          <w:lang w:val="fr-CA"/>
        </w:rPr>
        <w:t>est arrêté</w:t>
      </w:r>
      <w:r w:rsidR="00892FDE">
        <w:rPr>
          <w:lang w:val="fr-CA"/>
        </w:rPr>
        <w:t>.</w:t>
      </w:r>
    </w:p>
    <w:p w14:paraId="1825E125" w14:textId="39FA5C79" w:rsidR="00C20A72" w:rsidRDefault="000402F2" w:rsidP="00F01A90">
      <w:pPr>
        <w:pStyle w:val="Heading2"/>
        <w:ind w:left="1276" w:hanging="1276"/>
      </w:pPr>
      <w:bookmarkStart w:id="663" w:name="_Electronic_and_digital"/>
      <w:bookmarkStart w:id="664" w:name="_Signalisation_électronique_et"/>
      <w:bookmarkStart w:id="665" w:name="_Toc219706243"/>
      <w:bookmarkEnd w:id="663"/>
      <w:bookmarkEnd w:id="664"/>
      <w:r>
        <w:t xml:space="preserve">Signalisation </w:t>
      </w:r>
      <w:proofErr w:type="spellStart"/>
      <w:r>
        <w:t>électronique</w:t>
      </w:r>
      <w:proofErr w:type="spellEnd"/>
      <w:r>
        <w:t xml:space="preserve"> et numérique</w:t>
      </w:r>
      <w:bookmarkEnd w:id="665"/>
    </w:p>
    <w:p w14:paraId="0CB4169C" w14:textId="1F3C67BF" w:rsidR="0082731D" w:rsidRDefault="0082731D" w:rsidP="0082731D">
      <w:pPr>
        <w:pStyle w:val="Heading3"/>
      </w:pPr>
      <w:bookmarkStart w:id="666" w:name="_Toc219706244"/>
      <w:proofErr w:type="spellStart"/>
      <w:r>
        <w:t>Général</w:t>
      </w:r>
      <w:bookmarkEnd w:id="666"/>
      <w:proofErr w:type="spellEnd"/>
    </w:p>
    <w:p w14:paraId="065B8D80" w14:textId="0BDAC690" w:rsidR="00457155" w:rsidRPr="00F01A90" w:rsidRDefault="00457155" w:rsidP="00457155">
      <w:pPr>
        <w:rPr>
          <w:lang w:val="fr-CA"/>
        </w:rPr>
      </w:pPr>
      <w:r w:rsidRPr="00F01A90">
        <w:rPr>
          <w:lang w:val="fr-CA"/>
        </w:rPr>
        <w:t>L</w:t>
      </w:r>
      <w:r w:rsidR="00AB16E8">
        <w:rPr>
          <w:lang w:val="fr-CA"/>
        </w:rPr>
        <w:t>’</w:t>
      </w:r>
      <w:r w:rsidRPr="00F01A90">
        <w:rPr>
          <w:lang w:val="fr-CA"/>
        </w:rPr>
        <w:t>affichage électronique et numérique se divise en deux catégories</w:t>
      </w:r>
      <w:r w:rsidR="004A0CDA">
        <w:rPr>
          <w:lang w:val="fr-CA"/>
        </w:rPr>
        <w:t> </w:t>
      </w:r>
      <w:r w:rsidRPr="00F01A90">
        <w:rPr>
          <w:lang w:val="fr-CA"/>
        </w:rPr>
        <w:t>:</w:t>
      </w:r>
    </w:p>
    <w:p w14:paraId="015010CA" w14:textId="14999581" w:rsidR="00457155" w:rsidRPr="00F01A90" w:rsidRDefault="008B6F8A" w:rsidP="0045216F">
      <w:pPr>
        <w:pStyle w:val="ListRef"/>
        <w:numPr>
          <w:ilvl w:val="0"/>
          <w:numId w:val="89"/>
        </w:numPr>
        <w:rPr>
          <w:lang w:val="fr-CA"/>
        </w:rPr>
      </w:pPr>
      <w:r>
        <w:rPr>
          <w:lang w:val="fr-CA"/>
        </w:rPr>
        <w:t>T</w:t>
      </w:r>
      <w:r w:rsidR="00457155" w:rsidRPr="00F01A90">
        <w:rPr>
          <w:lang w:val="fr-CA"/>
        </w:rPr>
        <w:t>echnologies à diodes électroluminescentes (DEL) qui forment des lettres et des formes à partir de motifs de points électrifiés</w:t>
      </w:r>
      <w:r w:rsidR="00F12F5F" w:rsidRPr="00F01A90">
        <w:rPr>
          <w:lang w:val="fr-CA"/>
        </w:rPr>
        <w:t xml:space="preserve"> par la lumière</w:t>
      </w:r>
      <w:r>
        <w:rPr>
          <w:lang w:val="fr-CA"/>
        </w:rPr>
        <w:t>.</w:t>
      </w:r>
    </w:p>
    <w:p w14:paraId="77A0CC14" w14:textId="2C8FEF33" w:rsidR="00457155" w:rsidRPr="00F01A90" w:rsidRDefault="008B6F8A" w:rsidP="0045216F">
      <w:pPr>
        <w:pStyle w:val="ListRef"/>
        <w:numPr>
          <w:ilvl w:val="0"/>
          <w:numId w:val="89"/>
        </w:numPr>
        <w:rPr>
          <w:lang w:val="fr-CA"/>
        </w:rPr>
      </w:pPr>
      <w:r>
        <w:rPr>
          <w:lang w:val="fr-CA"/>
        </w:rPr>
        <w:t>T</w:t>
      </w:r>
      <w:r w:rsidR="00457155" w:rsidRPr="00F01A90">
        <w:rPr>
          <w:lang w:val="fr-CA"/>
        </w:rPr>
        <w:t>echnologies d</w:t>
      </w:r>
      <w:r w:rsidR="00AB16E8">
        <w:rPr>
          <w:lang w:val="fr-CA"/>
        </w:rPr>
        <w:t>’</w:t>
      </w:r>
      <w:r w:rsidR="00457155" w:rsidRPr="00F01A90">
        <w:rPr>
          <w:lang w:val="fr-CA"/>
        </w:rPr>
        <w:t>affichage rafraîchissantes, telles que le plasma et l</w:t>
      </w:r>
      <w:r w:rsidR="00AB16E8">
        <w:rPr>
          <w:lang w:val="fr-CA"/>
        </w:rPr>
        <w:t>’</w:t>
      </w:r>
      <w:r w:rsidR="00457155" w:rsidRPr="00F01A90">
        <w:rPr>
          <w:lang w:val="fr-CA"/>
        </w:rPr>
        <w:t xml:space="preserve">écran </w:t>
      </w:r>
      <w:r w:rsidR="000B1DC2">
        <w:rPr>
          <w:lang w:val="fr-CA"/>
        </w:rPr>
        <w:t>ACL</w:t>
      </w:r>
      <w:r w:rsidR="00457155" w:rsidRPr="00F01A90">
        <w:rPr>
          <w:lang w:val="fr-CA"/>
        </w:rPr>
        <w:t>, utilisés pour la sortie visuelle dynamique.</w:t>
      </w:r>
    </w:p>
    <w:p w14:paraId="6EC20C08" w14:textId="739D86EA" w:rsidR="00457155" w:rsidRPr="00F01A90" w:rsidRDefault="00457155" w:rsidP="00457155">
      <w:pPr>
        <w:rPr>
          <w:lang w:val="fr-CA"/>
        </w:rPr>
      </w:pPr>
      <w:r w:rsidRPr="00F01A90">
        <w:rPr>
          <w:lang w:val="fr-CA"/>
        </w:rPr>
        <w:t>L</w:t>
      </w:r>
      <w:r w:rsidR="00AB16E8">
        <w:rPr>
          <w:lang w:val="fr-CA"/>
        </w:rPr>
        <w:t>’</w:t>
      </w:r>
      <w:r w:rsidRPr="00F01A90">
        <w:rPr>
          <w:lang w:val="fr-CA"/>
        </w:rPr>
        <w:t>éclairage et la formation d</w:t>
      </w:r>
      <w:r w:rsidR="00FD1E3E">
        <w:rPr>
          <w:lang w:val="fr-CA"/>
        </w:rPr>
        <w:t>e signalisation</w:t>
      </w:r>
      <w:r w:rsidRPr="00F01A90">
        <w:rPr>
          <w:lang w:val="fr-CA"/>
        </w:rPr>
        <w:t xml:space="preserve"> électroniques et numériques contribuent à augmenter sa visibilité, la rendant facilement perceptible dans diverses conditions d</w:t>
      </w:r>
      <w:r w:rsidR="00AB16E8">
        <w:rPr>
          <w:lang w:val="fr-CA"/>
        </w:rPr>
        <w:t>’</w:t>
      </w:r>
      <w:r w:rsidRPr="00F01A90">
        <w:rPr>
          <w:lang w:val="fr-CA"/>
        </w:rPr>
        <w:t>éclairage. L</w:t>
      </w:r>
      <w:r w:rsidR="00AB16E8">
        <w:rPr>
          <w:lang w:val="fr-CA"/>
        </w:rPr>
        <w:t>’</w:t>
      </w:r>
      <w:r w:rsidRPr="00F01A90">
        <w:rPr>
          <w:lang w:val="fr-CA"/>
        </w:rPr>
        <w:t>éclairage permet aussi de voir un</w:t>
      </w:r>
      <w:r w:rsidR="00FD1E3E">
        <w:rPr>
          <w:lang w:val="fr-CA"/>
        </w:rPr>
        <w:t xml:space="preserve"> panneau</w:t>
      </w:r>
      <w:r w:rsidRPr="00F01A90">
        <w:rPr>
          <w:lang w:val="fr-CA"/>
        </w:rPr>
        <w:t xml:space="preserve"> à distance, ce qui rend les panneaux électroniques plus efficaces.</w:t>
      </w:r>
    </w:p>
    <w:p w14:paraId="25548286" w14:textId="189B34E3" w:rsidR="00457155" w:rsidRPr="00F01A90" w:rsidRDefault="00457155" w:rsidP="00457155">
      <w:pPr>
        <w:rPr>
          <w:rStyle w:val="EmphasisUseSparingly"/>
          <w:lang w:val="fr-CA"/>
        </w:rPr>
      </w:pPr>
      <w:r w:rsidRPr="00F01A90">
        <w:rPr>
          <w:lang w:val="fr-CA"/>
        </w:rPr>
        <w:lastRenderedPageBreak/>
        <w:t>La signalisation électronique et numérique doit</w:t>
      </w:r>
      <w:r w:rsidR="004A0CDA">
        <w:rPr>
          <w:lang w:val="fr-CA"/>
        </w:rPr>
        <w:t> </w:t>
      </w:r>
      <w:r w:rsidRPr="00F01A90">
        <w:rPr>
          <w:lang w:val="fr-CA"/>
        </w:rPr>
        <w:t>:</w:t>
      </w:r>
    </w:p>
    <w:p w14:paraId="36200CA5" w14:textId="50B30823" w:rsidR="00457155" w:rsidRPr="00F01A90" w:rsidRDefault="00457155" w:rsidP="003F66F0">
      <w:pPr>
        <w:pStyle w:val="ListRef"/>
        <w:numPr>
          <w:ilvl w:val="0"/>
          <w:numId w:val="63"/>
        </w:numPr>
        <w:rPr>
          <w:lang w:val="fr-CA"/>
        </w:rPr>
      </w:pPr>
      <w:proofErr w:type="gramStart"/>
      <w:r w:rsidRPr="00F01A90">
        <w:rPr>
          <w:lang w:val="fr-CA"/>
        </w:rPr>
        <w:t>laisser</w:t>
      </w:r>
      <w:proofErr w:type="gramEnd"/>
      <w:r w:rsidRPr="00F01A90">
        <w:rPr>
          <w:lang w:val="fr-CA"/>
        </w:rPr>
        <w:t xml:space="preserve"> suffisamment de temps aux spectateurs </w:t>
      </w:r>
      <w:r w:rsidR="003F3B76">
        <w:rPr>
          <w:lang w:val="fr-CA"/>
        </w:rPr>
        <w:t>pour</w:t>
      </w:r>
      <w:r w:rsidR="00EB2BE1">
        <w:rPr>
          <w:lang w:val="fr-CA"/>
        </w:rPr>
        <w:t xml:space="preserve"> </w:t>
      </w:r>
      <w:r w:rsidRPr="00F01A90">
        <w:rPr>
          <w:lang w:val="fr-CA"/>
        </w:rPr>
        <w:t>voir le message</w:t>
      </w:r>
      <w:r w:rsidR="00A9465C">
        <w:rPr>
          <w:lang w:val="fr-CA"/>
        </w:rPr>
        <w:t xml:space="preserve"> conform</w:t>
      </w:r>
      <w:r w:rsidR="0042301B">
        <w:rPr>
          <w:lang w:val="fr-CA"/>
        </w:rPr>
        <w:t>ément</w:t>
      </w:r>
      <w:r w:rsidR="00A9465C">
        <w:rPr>
          <w:lang w:val="fr-CA"/>
        </w:rPr>
        <w:t xml:space="preserve"> à </w:t>
      </w:r>
      <w:r w:rsidRPr="00F01A90">
        <w:rPr>
          <w:lang w:val="fr-CA"/>
        </w:rPr>
        <w:t>l</w:t>
      </w:r>
      <w:r w:rsidR="00EB2BE1">
        <w:rPr>
          <w:lang w:val="fr-CA"/>
        </w:rPr>
        <w:t>’article</w:t>
      </w:r>
      <w:r w:rsidRPr="00F01A90">
        <w:rPr>
          <w:lang w:val="fr-CA"/>
        </w:rPr>
        <w:t xml:space="preserve"> </w:t>
      </w:r>
      <w:r w:rsidR="008D4679">
        <w:fldChar w:fldCharType="begin"/>
      </w:r>
      <w:r w:rsidR="008D4679" w:rsidRPr="007C0FBA">
        <w:rPr>
          <w:lang w:val="fr-CA"/>
        </w:rPr>
        <w:instrText>HYPERLINK \l "_Messaging"</w:instrText>
      </w:r>
      <w:r w:rsidR="008D4679">
        <w:fldChar w:fldCharType="separate"/>
      </w:r>
      <w:r w:rsidR="008D4679" w:rsidRPr="00F01A90">
        <w:rPr>
          <w:rStyle w:val="Hyperlink"/>
          <w:lang w:val="fr-CA"/>
        </w:rPr>
        <w:t>1</w:t>
      </w:r>
      <w:r w:rsidR="00402A2C">
        <w:rPr>
          <w:rStyle w:val="Hyperlink"/>
          <w:lang w:val="fr-CA"/>
        </w:rPr>
        <w:t>2</w:t>
      </w:r>
      <w:r w:rsidR="008D4679" w:rsidRPr="00F01A90">
        <w:rPr>
          <w:rStyle w:val="Hyperlink"/>
          <w:lang w:val="fr-CA"/>
        </w:rPr>
        <w:t>.11.7</w:t>
      </w:r>
      <w:r w:rsidR="008D4679">
        <w:fldChar w:fldCharType="end"/>
      </w:r>
      <w:r w:rsidRPr="00F01A90">
        <w:rPr>
          <w:lang w:val="fr-CA"/>
        </w:rPr>
        <w:t>;</w:t>
      </w:r>
    </w:p>
    <w:p w14:paraId="0691F81A" w14:textId="167D8548" w:rsidR="00457155" w:rsidRPr="00F01A90" w:rsidRDefault="00457155" w:rsidP="003F66F0">
      <w:pPr>
        <w:pStyle w:val="ListRef"/>
        <w:numPr>
          <w:ilvl w:val="0"/>
          <w:numId w:val="63"/>
        </w:numPr>
        <w:rPr>
          <w:lang w:val="fr-CA"/>
        </w:rPr>
      </w:pPr>
      <w:proofErr w:type="gramStart"/>
      <w:r w:rsidRPr="00F01A90">
        <w:rPr>
          <w:lang w:val="fr-CA"/>
        </w:rPr>
        <w:t>être</w:t>
      </w:r>
      <w:proofErr w:type="gramEnd"/>
      <w:r w:rsidRPr="00F01A90">
        <w:rPr>
          <w:lang w:val="fr-CA"/>
        </w:rPr>
        <w:t xml:space="preserve"> testé par des personnes avec diverses capacités pour </w:t>
      </w:r>
      <w:r w:rsidR="006C53C5">
        <w:rPr>
          <w:lang w:val="fr-CA"/>
        </w:rPr>
        <w:t>déterminer</w:t>
      </w:r>
      <w:r w:rsidR="006C53C5" w:rsidRPr="00F01A90">
        <w:rPr>
          <w:lang w:val="fr-CA"/>
        </w:rPr>
        <w:t xml:space="preserve"> </w:t>
      </w:r>
      <w:r w:rsidR="006C53C5">
        <w:rPr>
          <w:lang w:val="fr-CA"/>
        </w:rPr>
        <w:t>le temps requis</w:t>
      </w:r>
      <w:r w:rsidRPr="00F01A90">
        <w:rPr>
          <w:lang w:val="fr-CA"/>
        </w:rPr>
        <w:t>;</w:t>
      </w:r>
    </w:p>
    <w:p w14:paraId="28E7AEFA" w14:textId="0B41DDD9" w:rsidR="00457155" w:rsidRPr="00F01A90" w:rsidRDefault="00536966" w:rsidP="003F66F0">
      <w:pPr>
        <w:pStyle w:val="ListRef"/>
        <w:numPr>
          <w:ilvl w:val="0"/>
          <w:numId w:val="63"/>
        </w:numPr>
        <w:rPr>
          <w:lang w:val="fr-CA"/>
        </w:rPr>
      </w:pPr>
      <w:proofErr w:type="gramStart"/>
      <w:r>
        <w:rPr>
          <w:lang w:val="fr-CA"/>
        </w:rPr>
        <w:t>ne</w:t>
      </w:r>
      <w:proofErr w:type="gramEnd"/>
      <w:r>
        <w:rPr>
          <w:lang w:val="fr-CA"/>
        </w:rPr>
        <w:t xml:space="preserve"> </w:t>
      </w:r>
      <w:r w:rsidR="009F6A05">
        <w:rPr>
          <w:lang w:val="fr-CA"/>
        </w:rPr>
        <w:t>pas</w:t>
      </w:r>
      <w:r w:rsidR="00457155" w:rsidRPr="00F01A90">
        <w:rPr>
          <w:lang w:val="fr-CA"/>
        </w:rPr>
        <w:t xml:space="preserve"> présen</w:t>
      </w:r>
      <w:r w:rsidR="009F6A05">
        <w:rPr>
          <w:lang w:val="fr-CA"/>
        </w:rPr>
        <w:t>ter</w:t>
      </w:r>
      <w:r w:rsidR="00457155" w:rsidRPr="00F01A90">
        <w:rPr>
          <w:lang w:val="fr-CA"/>
        </w:rPr>
        <w:t xml:space="preserve"> </w:t>
      </w:r>
      <w:r w:rsidR="004D0981">
        <w:rPr>
          <w:lang w:val="fr-CA"/>
        </w:rPr>
        <w:t xml:space="preserve">des </w:t>
      </w:r>
      <w:r w:rsidR="00457155" w:rsidRPr="00F01A90">
        <w:rPr>
          <w:lang w:val="fr-CA"/>
        </w:rPr>
        <w:t>informations sous forme de défilement ou d</w:t>
      </w:r>
      <w:r w:rsidR="00AB16E8">
        <w:rPr>
          <w:lang w:val="fr-CA"/>
        </w:rPr>
        <w:t>’</w:t>
      </w:r>
      <w:r w:rsidR="00457155" w:rsidRPr="00F01A90">
        <w:rPr>
          <w:lang w:val="fr-CA"/>
        </w:rPr>
        <w:t>animation;</w:t>
      </w:r>
    </w:p>
    <w:p w14:paraId="5B3062C4" w14:textId="37A9D454" w:rsidR="00457155" w:rsidRPr="00F01A90" w:rsidRDefault="00457155" w:rsidP="003F66F0">
      <w:pPr>
        <w:pStyle w:val="ListRef"/>
        <w:numPr>
          <w:ilvl w:val="0"/>
          <w:numId w:val="63"/>
        </w:numPr>
        <w:rPr>
          <w:lang w:val="fr-CA"/>
        </w:rPr>
      </w:pPr>
      <w:proofErr w:type="gramStart"/>
      <w:r w:rsidRPr="00F01A90">
        <w:rPr>
          <w:lang w:val="fr-CA"/>
        </w:rPr>
        <w:t>offrir</w:t>
      </w:r>
      <w:proofErr w:type="gramEnd"/>
      <w:r w:rsidRPr="00F01A90">
        <w:rPr>
          <w:lang w:val="fr-CA"/>
        </w:rPr>
        <w:t xml:space="preserve"> un fort contraste de couleurs pour le texte et l</w:t>
      </w:r>
      <w:r w:rsidR="00AB16E8">
        <w:rPr>
          <w:lang w:val="fr-CA"/>
        </w:rPr>
        <w:t>’</w:t>
      </w:r>
      <w:r w:rsidRPr="00F01A90">
        <w:rPr>
          <w:lang w:val="fr-CA"/>
        </w:rPr>
        <w:t>arrière-plan; et</w:t>
      </w:r>
    </w:p>
    <w:p w14:paraId="6A49F103" w14:textId="518BA71D" w:rsidR="00457155" w:rsidRPr="00F01A90" w:rsidRDefault="009F6A05" w:rsidP="003F66F0">
      <w:pPr>
        <w:pStyle w:val="ListRef"/>
        <w:numPr>
          <w:ilvl w:val="0"/>
          <w:numId w:val="63"/>
        </w:numPr>
        <w:rPr>
          <w:lang w:val="fr-CA"/>
        </w:rPr>
      </w:pPr>
      <w:proofErr w:type="gramStart"/>
      <w:r>
        <w:rPr>
          <w:lang w:val="fr-CA"/>
        </w:rPr>
        <w:t>a</w:t>
      </w:r>
      <w:r w:rsidR="00457155" w:rsidRPr="00F01A90">
        <w:rPr>
          <w:lang w:val="fr-CA"/>
        </w:rPr>
        <w:t>voir</w:t>
      </w:r>
      <w:proofErr w:type="gramEnd"/>
      <w:r w:rsidR="00457155" w:rsidRPr="00F01A90">
        <w:rPr>
          <w:lang w:val="fr-CA"/>
        </w:rPr>
        <w:t xml:space="preserve"> des écrans et écrans protecteurs à faible </w:t>
      </w:r>
      <w:r w:rsidR="00DF27AE">
        <w:rPr>
          <w:lang w:val="fr-CA"/>
        </w:rPr>
        <w:t xml:space="preserve">éblouissement </w:t>
      </w:r>
      <w:r w:rsidR="00457155" w:rsidRPr="00F01A90">
        <w:rPr>
          <w:lang w:val="fr-CA"/>
        </w:rPr>
        <w:t>et à faible reflet.</w:t>
      </w:r>
    </w:p>
    <w:p w14:paraId="6FCC35DF" w14:textId="3C7CE4D5" w:rsidR="0082731D" w:rsidRDefault="00944BC7" w:rsidP="00944BC7">
      <w:pPr>
        <w:pStyle w:val="Heading3"/>
      </w:pPr>
      <w:bookmarkStart w:id="667" w:name="_Toc219706245"/>
      <w:r>
        <w:t>Utilisation</w:t>
      </w:r>
      <w:bookmarkEnd w:id="667"/>
    </w:p>
    <w:p w14:paraId="1B90DBCE" w14:textId="6982655C" w:rsidR="00944BC7" w:rsidRPr="00147702" w:rsidRDefault="00944BC7" w:rsidP="00944BC7">
      <w:pPr>
        <w:rPr>
          <w:lang w:val="fr-CA"/>
        </w:rPr>
      </w:pPr>
      <w:r w:rsidRPr="00147702">
        <w:rPr>
          <w:lang w:val="fr-CA"/>
        </w:rPr>
        <w:t>Les panneaux électroniques sont principalement utilisés lorsque l</w:t>
      </w:r>
      <w:r w:rsidR="00AB16E8">
        <w:rPr>
          <w:lang w:val="fr-CA"/>
        </w:rPr>
        <w:t>’</w:t>
      </w:r>
      <w:r w:rsidRPr="00147702">
        <w:rPr>
          <w:lang w:val="fr-CA"/>
        </w:rPr>
        <w:t>information dure longtemps et ne change pas, comme dans un signal piétonnier, un horaire d</w:t>
      </w:r>
      <w:r w:rsidR="00AB16E8">
        <w:rPr>
          <w:lang w:val="fr-CA"/>
        </w:rPr>
        <w:t>’</w:t>
      </w:r>
      <w:r w:rsidRPr="00147702">
        <w:rPr>
          <w:lang w:val="fr-CA"/>
        </w:rPr>
        <w:t>installation publique ou un symbole directionnel pour l</w:t>
      </w:r>
      <w:r w:rsidR="00FD2894">
        <w:rPr>
          <w:lang w:val="fr-CA"/>
        </w:rPr>
        <w:t>’orientation</w:t>
      </w:r>
      <w:r w:rsidRPr="00147702">
        <w:rPr>
          <w:lang w:val="fr-CA"/>
        </w:rPr>
        <w:t>.</w:t>
      </w:r>
    </w:p>
    <w:p w14:paraId="1F4D2237" w14:textId="21F72BA9" w:rsidR="00944BC7" w:rsidRPr="00877353" w:rsidRDefault="00944BC7" w:rsidP="00944BC7">
      <w:pPr>
        <w:rPr>
          <w:lang w:val="fr-CA"/>
        </w:rPr>
      </w:pPr>
      <w:r w:rsidRPr="00877353">
        <w:rPr>
          <w:lang w:val="fr-CA"/>
        </w:rPr>
        <w:t>La signalisation numérique est principalement utilisée là où le message peut être modifié, par exemple</w:t>
      </w:r>
      <w:r w:rsidR="004A0CDA">
        <w:rPr>
          <w:lang w:val="fr-CA"/>
        </w:rPr>
        <w:t> </w:t>
      </w:r>
      <w:r w:rsidRPr="00877353">
        <w:rPr>
          <w:lang w:val="fr-CA"/>
        </w:rPr>
        <w:t>: des unités d</w:t>
      </w:r>
      <w:r w:rsidR="00AB16E8">
        <w:rPr>
          <w:lang w:val="fr-CA"/>
        </w:rPr>
        <w:t>’</w:t>
      </w:r>
      <w:r w:rsidRPr="00877353">
        <w:rPr>
          <w:lang w:val="fr-CA"/>
        </w:rPr>
        <w:t>affichage numérique pour les systèmes d</w:t>
      </w:r>
      <w:r w:rsidR="00AB16E8">
        <w:rPr>
          <w:lang w:val="fr-CA"/>
        </w:rPr>
        <w:t>’</w:t>
      </w:r>
      <w:r w:rsidRPr="00877353">
        <w:rPr>
          <w:lang w:val="fr-CA"/>
        </w:rPr>
        <w:t>alerte au prochain client aux kiosques et les horaires de départ et d</w:t>
      </w:r>
      <w:r w:rsidR="00AB16E8">
        <w:rPr>
          <w:lang w:val="fr-CA"/>
        </w:rPr>
        <w:t>’</w:t>
      </w:r>
      <w:r w:rsidRPr="00877353">
        <w:rPr>
          <w:lang w:val="fr-CA"/>
        </w:rPr>
        <w:t>arrivée à l</w:t>
      </w:r>
      <w:r w:rsidR="00AB16E8">
        <w:rPr>
          <w:lang w:val="fr-CA"/>
        </w:rPr>
        <w:t>’</w:t>
      </w:r>
      <w:r w:rsidRPr="00877353">
        <w:rPr>
          <w:lang w:val="fr-CA"/>
        </w:rPr>
        <w:t>aéroport.</w:t>
      </w:r>
    </w:p>
    <w:p w14:paraId="6D264A2E" w14:textId="5B94D0E1" w:rsidR="00944BC7" w:rsidRPr="00147702" w:rsidRDefault="00944BC7" w:rsidP="00944BC7">
      <w:pPr>
        <w:rPr>
          <w:lang w:val="fr-CA"/>
        </w:rPr>
      </w:pPr>
      <w:r w:rsidRPr="00147702">
        <w:rPr>
          <w:lang w:val="fr-CA"/>
        </w:rPr>
        <w:t>La signalisation électronique et numérique affiche plus d</w:t>
      </w:r>
      <w:r w:rsidR="00AB16E8">
        <w:rPr>
          <w:lang w:val="fr-CA"/>
        </w:rPr>
        <w:t>’</w:t>
      </w:r>
      <w:r w:rsidRPr="00147702">
        <w:rPr>
          <w:lang w:val="fr-CA"/>
        </w:rPr>
        <w:t>informations que sur un écran fixe, comme celui d</w:t>
      </w:r>
      <w:r w:rsidR="00AB16E8">
        <w:rPr>
          <w:lang w:val="fr-CA"/>
        </w:rPr>
        <w:t>’</w:t>
      </w:r>
      <w:r w:rsidRPr="00147702">
        <w:rPr>
          <w:lang w:val="fr-CA"/>
        </w:rPr>
        <w:t>un annuaire de bâtiment.</w:t>
      </w:r>
    </w:p>
    <w:p w14:paraId="6AE62E73" w14:textId="63FCD401" w:rsidR="00944BC7" w:rsidRPr="00147702" w:rsidRDefault="00944BC7" w:rsidP="00944BC7">
      <w:pPr>
        <w:rPr>
          <w:lang w:val="fr-CA"/>
        </w:rPr>
      </w:pPr>
      <w:r w:rsidRPr="00147702">
        <w:rPr>
          <w:lang w:val="fr-CA"/>
        </w:rPr>
        <w:t>L</w:t>
      </w:r>
      <w:r w:rsidR="00AB16E8">
        <w:rPr>
          <w:lang w:val="fr-CA"/>
        </w:rPr>
        <w:t>’</w:t>
      </w:r>
      <w:r w:rsidRPr="00147702">
        <w:rPr>
          <w:lang w:val="fr-CA"/>
        </w:rPr>
        <w:t>utilisation de l</w:t>
      </w:r>
      <w:r w:rsidR="00AB16E8">
        <w:rPr>
          <w:lang w:val="fr-CA"/>
        </w:rPr>
        <w:t>’</w:t>
      </w:r>
      <w:r w:rsidRPr="00147702">
        <w:rPr>
          <w:lang w:val="fr-CA"/>
        </w:rPr>
        <w:t xml:space="preserve">affichage électronique et numérique </w:t>
      </w:r>
      <w:r w:rsidR="00493767">
        <w:rPr>
          <w:lang w:val="fr-CA"/>
        </w:rPr>
        <w:t>doit remplir</w:t>
      </w:r>
      <w:r w:rsidRPr="00147702">
        <w:rPr>
          <w:lang w:val="fr-CA"/>
        </w:rPr>
        <w:t xml:space="preserve"> les mêmes fonctions que les panneaux traditionnels en affichant un contenu qui transmet clairement le message, peu importe ce qui est affiché.</w:t>
      </w:r>
    </w:p>
    <w:p w14:paraId="36E9F5B8" w14:textId="2F55FAAD" w:rsidR="00944BC7" w:rsidRDefault="00031203" w:rsidP="00031203">
      <w:pPr>
        <w:pStyle w:val="Heading3"/>
      </w:pPr>
      <w:bookmarkStart w:id="668" w:name="_Toc219706246"/>
      <w:r>
        <w:lastRenderedPageBreak/>
        <w:t>Conception et installation</w:t>
      </w:r>
      <w:bookmarkEnd w:id="668"/>
    </w:p>
    <w:p w14:paraId="1856BFED" w14:textId="5DCD53FC" w:rsidR="0006344F" w:rsidRDefault="00031203" w:rsidP="00616711">
      <w:pPr>
        <w:rPr>
          <w:lang w:val="fr-CA"/>
        </w:rPr>
      </w:pPr>
      <w:r w:rsidRPr="00147702">
        <w:rPr>
          <w:lang w:val="fr-CA"/>
        </w:rPr>
        <w:t>La taille de l</w:t>
      </w:r>
      <w:r w:rsidR="00AB16E8">
        <w:rPr>
          <w:lang w:val="fr-CA"/>
        </w:rPr>
        <w:t>’</w:t>
      </w:r>
      <w:r w:rsidRPr="00147702">
        <w:rPr>
          <w:lang w:val="fr-CA"/>
        </w:rPr>
        <w:t>écran de l</w:t>
      </w:r>
      <w:r w:rsidR="00AB16E8">
        <w:rPr>
          <w:lang w:val="fr-CA"/>
        </w:rPr>
        <w:t>’</w:t>
      </w:r>
      <w:r w:rsidRPr="00147702">
        <w:rPr>
          <w:lang w:val="fr-CA"/>
        </w:rPr>
        <w:t xml:space="preserve">unité et celle du châssis, les commandes accessibles, la confirmation de rétroaction des actions comme </w:t>
      </w:r>
      <w:r w:rsidR="00D84D7F">
        <w:rPr>
          <w:lang w:val="fr-CA"/>
        </w:rPr>
        <w:t>l’</w:t>
      </w:r>
      <w:r w:rsidRPr="00147702">
        <w:rPr>
          <w:lang w:val="fr-CA"/>
        </w:rPr>
        <w:t>appu</w:t>
      </w:r>
      <w:r w:rsidR="00D84D7F">
        <w:rPr>
          <w:lang w:val="fr-CA"/>
        </w:rPr>
        <w:t>i</w:t>
      </w:r>
      <w:r w:rsidRPr="00147702">
        <w:rPr>
          <w:lang w:val="fr-CA"/>
        </w:rPr>
        <w:t xml:space="preserve"> sur </w:t>
      </w:r>
      <w:r w:rsidR="00D84D7F">
        <w:rPr>
          <w:lang w:val="fr-CA"/>
        </w:rPr>
        <w:t>l</w:t>
      </w:r>
      <w:r w:rsidRPr="00147702">
        <w:rPr>
          <w:lang w:val="fr-CA"/>
        </w:rPr>
        <w:t>es boutons, ainsi que la facilité d</w:t>
      </w:r>
      <w:r w:rsidR="00AB16E8">
        <w:rPr>
          <w:lang w:val="fr-CA"/>
        </w:rPr>
        <w:t>’</w:t>
      </w:r>
      <w:r w:rsidRPr="00147702">
        <w:rPr>
          <w:lang w:val="fr-CA"/>
        </w:rPr>
        <w:t>entretien et de</w:t>
      </w:r>
      <w:r w:rsidR="007C3AD3">
        <w:rPr>
          <w:lang w:val="fr-CA"/>
        </w:rPr>
        <w:t>s</w:t>
      </w:r>
      <w:r w:rsidRPr="00147702">
        <w:rPr>
          <w:lang w:val="fr-CA"/>
        </w:rPr>
        <w:t xml:space="preserve"> réparation</w:t>
      </w:r>
      <w:r w:rsidR="007C3AD3">
        <w:rPr>
          <w:lang w:val="fr-CA"/>
        </w:rPr>
        <w:t>s</w:t>
      </w:r>
      <w:r w:rsidRPr="00147702">
        <w:rPr>
          <w:lang w:val="fr-CA"/>
        </w:rPr>
        <w:t xml:space="preserve"> sont essentiel</w:t>
      </w:r>
      <w:r w:rsidR="00536966">
        <w:rPr>
          <w:lang w:val="fr-CA"/>
        </w:rPr>
        <w:t>le</w:t>
      </w:r>
      <w:r w:rsidRPr="00147702">
        <w:rPr>
          <w:lang w:val="fr-CA"/>
        </w:rPr>
        <w:t>s pour l</w:t>
      </w:r>
      <w:r w:rsidR="00AB16E8">
        <w:rPr>
          <w:lang w:val="fr-CA"/>
        </w:rPr>
        <w:t>’</w:t>
      </w:r>
      <w:r w:rsidRPr="00147702">
        <w:rPr>
          <w:lang w:val="fr-CA"/>
        </w:rPr>
        <w:t>accessibilité.</w:t>
      </w:r>
    </w:p>
    <w:p w14:paraId="6BECA453" w14:textId="579E0E96" w:rsidR="00031203" w:rsidRPr="00147702" w:rsidRDefault="00031203" w:rsidP="00031203">
      <w:pPr>
        <w:rPr>
          <w:lang w:val="fr-CA"/>
        </w:rPr>
      </w:pPr>
      <w:r w:rsidRPr="00147702">
        <w:rPr>
          <w:lang w:val="fr-CA"/>
        </w:rPr>
        <w:t>La conception et l</w:t>
      </w:r>
      <w:r w:rsidR="00AB16E8">
        <w:rPr>
          <w:lang w:val="fr-CA"/>
        </w:rPr>
        <w:t>’</w:t>
      </w:r>
      <w:r w:rsidRPr="00147702">
        <w:rPr>
          <w:lang w:val="fr-CA"/>
        </w:rPr>
        <w:t>installation de la signalisation électronique et numérique doivent</w:t>
      </w:r>
      <w:r w:rsidR="004A0CDA">
        <w:rPr>
          <w:lang w:val="fr-CA"/>
        </w:rPr>
        <w:t> </w:t>
      </w:r>
      <w:r w:rsidRPr="00147702">
        <w:rPr>
          <w:lang w:val="fr-CA"/>
        </w:rPr>
        <w:t>:</w:t>
      </w:r>
    </w:p>
    <w:p w14:paraId="73C82154" w14:textId="65A286BA" w:rsidR="004F070F" w:rsidRDefault="000E0AD8" w:rsidP="003F66F0">
      <w:pPr>
        <w:pStyle w:val="ListParagraph"/>
        <w:numPr>
          <w:ilvl w:val="0"/>
          <w:numId w:val="64"/>
        </w:numPr>
      </w:pPr>
      <w:r>
        <w:t xml:space="preserve">prendre </w:t>
      </w:r>
      <w:proofErr w:type="spellStart"/>
      <w:r>
        <w:t>en</w:t>
      </w:r>
      <w:proofErr w:type="spellEnd"/>
      <w:r>
        <w:t xml:space="preserve"> </w:t>
      </w:r>
      <w:proofErr w:type="spellStart"/>
      <w:proofErr w:type="gramStart"/>
      <w:r>
        <w:t>compte</w:t>
      </w:r>
      <w:proofErr w:type="spellEnd"/>
      <w:r w:rsidR="004A0CDA">
        <w:t> </w:t>
      </w:r>
      <w:r w:rsidR="00031203">
        <w:t>:</w:t>
      </w:r>
      <w:proofErr w:type="gramEnd"/>
    </w:p>
    <w:p w14:paraId="1844B1CC" w14:textId="352B4BF4" w:rsidR="004F070F" w:rsidRPr="00DE4900" w:rsidRDefault="00031203" w:rsidP="003F66F0">
      <w:pPr>
        <w:pStyle w:val="ListParagraph"/>
        <w:numPr>
          <w:ilvl w:val="1"/>
          <w:numId w:val="64"/>
        </w:numPr>
        <w:rPr>
          <w:lang w:val="fr-CA"/>
        </w:rPr>
      </w:pPr>
      <w:proofErr w:type="gramStart"/>
      <w:r w:rsidRPr="00DE4900">
        <w:rPr>
          <w:lang w:val="fr-CA"/>
        </w:rPr>
        <w:t>le</w:t>
      </w:r>
      <w:proofErr w:type="gramEnd"/>
      <w:r w:rsidRPr="00DE4900">
        <w:rPr>
          <w:lang w:val="fr-CA"/>
        </w:rPr>
        <w:t xml:space="preserve"> niveau de bruit et les considérations de circulation selon l</w:t>
      </w:r>
      <w:r w:rsidR="00AB16E8">
        <w:rPr>
          <w:lang w:val="fr-CA"/>
        </w:rPr>
        <w:t>’</w:t>
      </w:r>
      <w:r w:rsidRPr="00DE4900">
        <w:rPr>
          <w:lang w:val="fr-CA"/>
        </w:rPr>
        <w:t>heure de la journée;</w:t>
      </w:r>
    </w:p>
    <w:p w14:paraId="3269E1CF" w14:textId="7CB2BF46" w:rsidR="004F070F" w:rsidRPr="00DE4900" w:rsidRDefault="00031203" w:rsidP="003F66F0">
      <w:pPr>
        <w:pStyle w:val="ListParagraph"/>
        <w:numPr>
          <w:ilvl w:val="1"/>
          <w:numId w:val="64"/>
        </w:numPr>
        <w:rPr>
          <w:lang w:val="fr-CA"/>
        </w:rPr>
      </w:pPr>
      <w:proofErr w:type="gramStart"/>
      <w:r w:rsidRPr="00DE4900">
        <w:rPr>
          <w:lang w:val="fr-CA"/>
        </w:rPr>
        <w:t>la</w:t>
      </w:r>
      <w:proofErr w:type="gramEnd"/>
      <w:r w:rsidRPr="00DE4900">
        <w:rPr>
          <w:lang w:val="fr-CA"/>
        </w:rPr>
        <w:t xml:space="preserve"> proximité des reflets par l</w:t>
      </w:r>
      <w:r w:rsidR="00AB16E8">
        <w:rPr>
          <w:lang w:val="fr-CA"/>
        </w:rPr>
        <w:t>’</w:t>
      </w:r>
      <w:r w:rsidRPr="00DE4900">
        <w:rPr>
          <w:lang w:val="fr-CA"/>
        </w:rPr>
        <w:t>éclairage ambiant;</w:t>
      </w:r>
    </w:p>
    <w:p w14:paraId="12E93A9B" w14:textId="591846F3" w:rsidR="004F070F" w:rsidRPr="00DE4900" w:rsidRDefault="008530AC" w:rsidP="003F66F0">
      <w:pPr>
        <w:pStyle w:val="ListParagraph"/>
        <w:numPr>
          <w:ilvl w:val="1"/>
          <w:numId w:val="64"/>
        </w:numPr>
        <w:rPr>
          <w:lang w:val="fr-CA"/>
        </w:rPr>
      </w:pPr>
      <w:proofErr w:type="gramStart"/>
      <w:r>
        <w:rPr>
          <w:lang w:val="fr-CA"/>
        </w:rPr>
        <w:t>la</w:t>
      </w:r>
      <w:proofErr w:type="gramEnd"/>
      <w:r>
        <w:rPr>
          <w:lang w:val="fr-CA"/>
        </w:rPr>
        <w:t xml:space="preserve"> </w:t>
      </w:r>
      <w:r w:rsidR="00031203" w:rsidRPr="00DE4900">
        <w:rPr>
          <w:lang w:val="fr-CA"/>
        </w:rPr>
        <w:t>proximité des surfaces acoustiques réfléchissantes;</w:t>
      </w:r>
    </w:p>
    <w:p w14:paraId="29D849E1" w14:textId="4F3D5C88" w:rsidR="004F070F" w:rsidRPr="00DE4900" w:rsidRDefault="008530AC" w:rsidP="003F66F0">
      <w:pPr>
        <w:pStyle w:val="ListParagraph"/>
        <w:numPr>
          <w:ilvl w:val="1"/>
          <w:numId w:val="64"/>
        </w:numPr>
        <w:rPr>
          <w:lang w:val="fr-CA"/>
        </w:rPr>
      </w:pPr>
      <w:proofErr w:type="gramStart"/>
      <w:r>
        <w:rPr>
          <w:lang w:val="fr-CA"/>
        </w:rPr>
        <w:t>la</w:t>
      </w:r>
      <w:proofErr w:type="gramEnd"/>
      <w:r>
        <w:rPr>
          <w:lang w:val="fr-CA"/>
        </w:rPr>
        <w:t xml:space="preserve"> </w:t>
      </w:r>
      <w:r w:rsidR="00031203" w:rsidRPr="00DE4900">
        <w:rPr>
          <w:lang w:val="fr-CA"/>
        </w:rPr>
        <w:t xml:space="preserve">proximité </w:t>
      </w:r>
      <w:r w:rsidR="002344AC">
        <w:rPr>
          <w:lang w:val="fr-CA"/>
        </w:rPr>
        <w:t>d’</w:t>
      </w:r>
      <w:r w:rsidR="00031203" w:rsidRPr="00DE4900">
        <w:rPr>
          <w:lang w:val="fr-CA"/>
        </w:rPr>
        <w:t xml:space="preserve">obstacles physiques </w:t>
      </w:r>
      <w:r w:rsidR="002344AC">
        <w:rPr>
          <w:lang w:val="fr-CA"/>
        </w:rPr>
        <w:t>à l’</w:t>
      </w:r>
      <w:r w:rsidR="002344AC" w:rsidRPr="00DE4900">
        <w:rPr>
          <w:lang w:val="fr-CA"/>
        </w:rPr>
        <w:t>accès</w:t>
      </w:r>
      <w:r w:rsidR="00031203" w:rsidRPr="00DE4900">
        <w:rPr>
          <w:lang w:val="fr-CA"/>
        </w:rPr>
        <w:t xml:space="preserve"> dans l</w:t>
      </w:r>
      <w:r w:rsidR="00AB16E8">
        <w:rPr>
          <w:lang w:val="fr-CA"/>
        </w:rPr>
        <w:t>’</w:t>
      </w:r>
      <w:r w:rsidR="00031203" w:rsidRPr="00DE4900">
        <w:rPr>
          <w:lang w:val="fr-CA"/>
        </w:rPr>
        <w:t>environnement intérieur ou extérieur bâti;</w:t>
      </w:r>
    </w:p>
    <w:p w14:paraId="5E624CA7" w14:textId="6081D350" w:rsidR="000D7E63" w:rsidRPr="00DE4900" w:rsidRDefault="008747C4" w:rsidP="003F66F0">
      <w:pPr>
        <w:pStyle w:val="ListParagraph"/>
        <w:numPr>
          <w:ilvl w:val="1"/>
          <w:numId w:val="64"/>
        </w:numPr>
        <w:rPr>
          <w:lang w:val="fr-CA"/>
        </w:rPr>
      </w:pPr>
      <w:proofErr w:type="gramStart"/>
      <w:r>
        <w:rPr>
          <w:lang w:val="fr-CA"/>
        </w:rPr>
        <w:t>l</w:t>
      </w:r>
      <w:r w:rsidR="00536966">
        <w:rPr>
          <w:lang w:val="fr-CA"/>
        </w:rPr>
        <w:t>e</w:t>
      </w:r>
      <w:proofErr w:type="gramEnd"/>
      <w:r>
        <w:rPr>
          <w:lang w:val="fr-CA"/>
        </w:rPr>
        <w:t xml:space="preserve"> </w:t>
      </w:r>
      <w:r w:rsidR="00031203" w:rsidRPr="00DE4900">
        <w:rPr>
          <w:lang w:val="fr-CA"/>
        </w:rPr>
        <w:t>placement direct sur le chemin de la lumière du soleil; et</w:t>
      </w:r>
    </w:p>
    <w:p w14:paraId="3459677E" w14:textId="0EDB585A" w:rsidR="000D7E63" w:rsidRPr="00DE4900" w:rsidRDefault="00A133E0" w:rsidP="003F66F0">
      <w:pPr>
        <w:pStyle w:val="ListParagraph"/>
        <w:numPr>
          <w:ilvl w:val="1"/>
          <w:numId w:val="64"/>
        </w:numPr>
        <w:rPr>
          <w:lang w:val="fr-CA"/>
        </w:rPr>
      </w:pPr>
      <w:proofErr w:type="gramStart"/>
      <w:r>
        <w:rPr>
          <w:lang w:val="fr-CA"/>
        </w:rPr>
        <w:t>les</w:t>
      </w:r>
      <w:proofErr w:type="gramEnd"/>
      <w:r>
        <w:rPr>
          <w:lang w:val="fr-CA"/>
        </w:rPr>
        <w:t xml:space="preserve"> </w:t>
      </w:r>
      <w:r w:rsidR="00031203" w:rsidRPr="00DE4900">
        <w:rPr>
          <w:lang w:val="fr-CA"/>
        </w:rPr>
        <w:t>considérations d</w:t>
      </w:r>
      <w:r w:rsidR="00AB16E8">
        <w:rPr>
          <w:lang w:val="fr-CA"/>
        </w:rPr>
        <w:t>’</w:t>
      </w:r>
      <w:r w:rsidR="00031203" w:rsidRPr="00DE4900">
        <w:rPr>
          <w:lang w:val="fr-CA"/>
        </w:rPr>
        <w:t>installation pour les environnements bâtis intérieurs (c.-à-d</w:t>
      </w:r>
      <w:r w:rsidR="00E617D5" w:rsidRPr="00DE4900">
        <w:rPr>
          <w:lang w:val="fr-CA"/>
        </w:rPr>
        <w:t xml:space="preserve">. </w:t>
      </w:r>
      <w:r w:rsidR="007A58F4">
        <w:rPr>
          <w:lang w:val="fr-CA"/>
        </w:rPr>
        <w:t>l’</w:t>
      </w:r>
      <w:r w:rsidR="00E617D5" w:rsidRPr="00DE4900">
        <w:rPr>
          <w:lang w:val="fr-CA"/>
        </w:rPr>
        <w:t>éclairage</w:t>
      </w:r>
      <w:r w:rsidR="00031203" w:rsidRPr="00DE4900">
        <w:rPr>
          <w:lang w:val="fr-CA"/>
        </w:rPr>
        <w:t xml:space="preserve"> et </w:t>
      </w:r>
      <w:r w:rsidR="007A58F4">
        <w:rPr>
          <w:lang w:val="fr-CA"/>
        </w:rPr>
        <w:t>l</w:t>
      </w:r>
      <w:r w:rsidR="00536966">
        <w:rPr>
          <w:lang w:val="fr-CA"/>
        </w:rPr>
        <w:t>e</w:t>
      </w:r>
      <w:r w:rsidR="007A58F4">
        <w:rPr>
          <w:lang w:val="fr-CA"/>
        </w:rPr>
        <w:t xml:space="preserve"> </w:t>
      </w:r>
      <w:r w:rsidR="00031203" w:rsidRPr="00DE4900">
        <w:rPr>
          <w:lang w:val="fr-CA"/>
        </w:rPr>
        <w:t>contraste visuel).</w:t>
      </w:r>
    </w:p>
    <w:p w14:paraId="6002B428" w14:textId="0F09CDF9" w:rsidR="00616711" w:rsidRDefault="00035210" w:rsidP="003F66F0">
      <w:pPr>
        <w:pStyle w:val="ListParagraph"/>
        <w:numPr>
          <w:ilvl w:val="0"/>
          <w:numId w:val="64"/>
        </w:numPr>
        <w:rPr>
          <w:lang w:val="fr-CA"/>
        </w:rPr>
      </w:pPr>
      <w:proofErr w:type="gramStart"/>
      <w:r>
        <w:rPr>
          <w:lang w:val="fr-CA"/>
        </w:rPr>
        <w:t>i</w:t>
      </w:r>
      <w:r w:rsidR="00031203" w:rsidRPr="00DE4900">
        <w:rPr>
          <w:lang w:val="fr-CA"/>
        </w:rPr>
        <w:t>nclu</w:t>
      </w:r>
      <w:r>
        <w:rPr>
          <w:lang w:val="fr-CA"/>
        </w:rPr>
        <w:t>re</w:t>
      </w:r>
      <w:proofErr w:type="gramEnd"/>
      <w:r w:rsidR="00031203" w:rsidRPr="00DE4900">
        <w:rPr>
          <w:lang w:val="fr-CA"/>
        </w:rPr>
        <w:t xml:space="preserve"> des fonctionnalités permettant l</w:t>
      </w:r>
      <w:r w:rsidR="00AB16E8">
        <w:rPr>
          <w:lang w:val="fr-CA"/>
        </w:rPr>
        <w:t>’</w:t>
      </w:r>
      <w:r w:rsidR="00031203" w:rsidRPr="00DE4900">
        <w:rPr>
          <w:lang w:val="fr-CA"/>
        </w:rPr>
        <w:t>activation à distance et la programmation pour s</w:t>
      </w:r>
      <w:r w:rsidR="00AB16E8">
        <w:rPr>
          <w:lang w:val="fr-CA"/>
        </w:rPr>
        <w:t>’</w:t>
      </w:r>
      <w:r w:rsidR="00031203" w:rsidRPr="00DE4900">
        <w:rPr>
          <w:lang w:val="fr-CA"/>
        </w:rPr>
        <w:t>adapter aux circonstances changeantes, comme des systèmes d</w:t>
      </w:r>
      <w:r w:rsidR="00AB16E8">
        <w:rPr>
          <w:lang w:val="fr-CA"/>
        </w:rPr>
        <w:t>’</w:t>
      </w:r>
      <w:r w:rsidR="00031203" w:rsidRPr="00DE4900">
        <w:rPr>
          <w:lang w:val="fr-CA"/>
        </w:rPr>
        <w:t>alerte de prochain arrêt sur les véhicules de transport en commun et des temps d</w:t>
      </w:r>
      <w:r w:rsidR="00AB16E8">
        <w:rPr>
          <w:lang w:val="fr-CA"/>
        </w:rPr>
        <w:t>’</w:t>
      </w:r>
      <w:r w:rsidR="00031203" w:rsidRPr="00DE4900">
        <w:rPr>
          <w:lang w:val="fr-CA"/>
        </w:rPr>
        <w:t>attente dans les centres de service à la clientèle.</w:t>
      </w:r>
    </w:p>
    <w:p w14:paraId="062F913E" w14:textId="77777777" w:rsidR="00616711" w:rsidRDefault="00616711">
      <w:pPr>
        <w:keepLines w:val="0"/>
        <w:spacing w:before="0" w:beforeAutospacing="0" w:line="259" w:lineRule="auto"/>
        <w:rPr>
          <w:lang w:val="fr-CA"/>
        </w:rPr>
      </w:pPr>
      <w:r>
        <w:rPr>
          <w:lang w:val="fr-CA"/>
        </w:rPr>
        <w:br w:type="page"/>
      </w:r>
    </w:p>
    <w:p w14:paraId="616F8AE5" w14:textId="16415062" w:rsidR="00F45E7D" w:rsidRDefault="00BE6D99" w:rsidP="00BE6D99">
      <w:pPr>
        <w:pStyle w:val="Heading3"/>
      </w:pPr>
      <w:bookmarkStart w:id="669" w:name="_Toc219706247"/>
      <w:r>
        <w:lastRenderedPageBreak/>
        <w:t>Illumination</w:t>
      </w:r>
      <w:bookmarkEnd w:id="669"/>
    </w:p>
    <w:p w14:paraId="371D4AF2" w14:textId="27177F8A" w:rsidR="00BE6D99" w:rsidRPr="002E7C5C" w:rsidRDefault="00BE6D99" w:rsidP="00C928C7">
      <w:pPr>
        <w:pStyle w:val="ListRef"/>
        <w:ind w:left="0" w:firstLine="0"/>
        <w:rPr>
          <w:lang w:val="fr-CA"/>
        </w:rPr>
      </w:pPr>
      <w:r w:rsidRPr="002E7C5C">
        <w:rPr>
          <w:lang w:val="fr-CA"/>
        </w:rPr>
        <w:t>La conception de l</w:t>
      </w:r>
      <w:r w:rsidR="00AB16E8">
        <w:rPr>
          <w:lang w:val="fr-CA"/>
        </w:rPr>
        <w:t>’</w:t>
      </w:r>
      <w:r w:rsidRPr="002E7C5C">
        <w:rPr>
          <w:lang w:val="fr-CA"/>
        </w:rPr>
        <w:t xml:space="preserve">éclairage pour </w:t>
      </w:r>
      <w:r w:rsidR="00C928C7">
        <w:rPr>
          <w:lang w:val="fr-CA"/>
        </w:rPr>
        <w:t xml:space="preserve">la </w:t>
      </w:r>
      <w:r w:rsidRPr="002E7C5C">
        <w:rPr>
          <w:lang w:val="fr-CA"/>
        </w:rPr>
        <w:t>signalisation électronique et numérique doit</w:t>
      </w:r>
      <w:r w:rsidR="004A0CDA">
        <w:rPr>
          <w:lang w:val="fr-CA"/>
        </w:rPr>
        <w:t> </w:t>
      </w:r>
      <w:r w:rsidRPr="002E7C5C">
        <w:rPr>
          <w:lang w:val="fr-CA"/>
        </w:rPr>
        <w:t>:</w:t>
      </w:r>
    </w:p>
    <w:p w14:paraId="79D0F4F6" w14:textId="6E4FED0F" w:rsidR="00BE6D99" w:rsidRPr="002E7C5C" w:rsidRDefault="00BE6D99" w:rsidP="003F66F0">
      <w:pPr>
        <w:pStyle w:val="ListRef"/>
        <w:numPr>
          <w:ilvl w:val="0"/>
          <w:numId w:val="65"/>
        </w:numPr>
        <w:rPr>
          <w:lang w:val="fr-CA"/>
        </w:rPr>
      </w:pPr>
      <w:proofErr w:type="gramStart"/>
      <w:r w:rsidRPr="002E7C5C">
        <w:rPr>
          <w:lang w:val="fr-CA"/>
        </w:rPr>
        <w:t>privilégi</w:t>
      </w:r>
      <w:r w:rsidR="00860BCF">
        <w:rPr>
          <w:lang w:val="fr-CA"/>
        </w:rPr>
        <w:t>er</w:t>
      </w:r>
      <w:proofErr w:type="gramEnd"/>
      <w:r w:rsidRPr="002E7C5C">
        <w:rPr>
          <w:lang w:val="fr-CA"/>
        </w:rPr>
        <w:t xml:space="preserve"> les modèles qui permettent d</w:t>
      </w:r>
      <w:r w:rsidR="00AB16E8">
        <w:rPr>
          <w:lang w:val="fr-CA"/>
        </w:rPr>
        <w:t>’</w:t>
      </w:r>
      <w:r w:rsidRPr="002E7C5C">
        <w:rPr>
          <w:lang w:val="fr-CA"/>
        </w:rPr>
        <w:t>ajuster automatiquement la luminosité vidéo selon les conditions locales de lumière plutôt que ceux ayant un horaire prédéterminé ou défini par l</w:t>
      </w:r>
      <w:r w:rsidR="00AB16E8">
        <w:rPr>
          <w:lang w:val="fr-CA"/>
        </w:rPr>
        <w:t>’</w:t>
      </w:r>
      <w:r w:rsidRPr="002E7C5C">
        <w:rPr>
          <w:lang w:val="fr-CA"/>
        </w:rPr>
        <w:t>utilisateur;</w:t>
      </w:r>
    </w:p>
    <w:p w14:paraId="60527368" w14:textId="77777777" w:rsidR="00BE6D99" w:rsidRPr="002E7C5C" w:rsidRDefault="00BE6D99" w:rsidP="003F66F0">
      <w:pPr>
        <w:pStyle w:val="ListRef"/>
        <w:numPr>
          <w:ilvl w:val="0"/>
          <w:numId w:val="65"/>
        </w:numPr>
        <w:rPr>
          <w:lang w:val="fr-CA"/>
        </w:rPr>
      </w:pPr>
      <w:proofErr w:type="gramStart"/>
      <w:r w:rsidRPr="002E7C5C">
        <w:rPr>
          <w:lang w:val="fr-CA"/>
        </w:rPr>
        <w:t>inclure</w:t>
      </w:r>
      <w:proofErr w:type="gramEnd"/>
      <w:r w:rsidRPr="002E7C5C">
        <w:rPr>
          <w:lang w:val="fr-CA"/>
        </w:rPr>
        <w:t xml:space="preserve"> une fonction de rétroéclairage pour augmenter le contraste et la visibilité dans des conditions de faible luminosité ou dans des zones à forte luminosité ambiante; et</w:t>
      </w:r>
    </w:p>
    <w:p w14:paraId="5622484D" w14:textId="1CB3A66F" w:rsidR="00BE6D99" w:rsidRPr="002E7C5C" w:rsidRDefault="00BE6D99" w:rsidP="003F66F0">
      <w:pPr>
        <w:pStyle w:val="ListRef"/>
        <w:numPr>
          <w:ilvl w:val="0"/>
          <w:numId w:val="65"/>
        </w:numPr>
        <w:rPr>
          <w:lang w:val="fr-CA"/>
        </w:rPr>
      </w:pPr>
      <w:proofErr w:type="gramStart"/>
      <w:r w:rsidRPr="002E7C5C">
        <w:rPr>
          <w:lang w:val="fr-CA"/>
        </w:rPr>
        <w:t>privilégie</w:t>
      </w:r>
      <w:r w:rsidR="00143690">
        <w:rPr>
          <w:lang w:val="fr-CA"/>
        </w:rPr>
        <w:t>r</w:t>
      </w:r>
      <w:proofErr w:type="gramEnd"/>
      <w:r w:rsidRPr="002E7C5C">
        <w:rPr>
          <w:lang w:val="fr-CA"/>
        </w:rPr>
        <w:t xml:space="preserve"> les technologies d</w:t>
      </w:r>
      <w:r w:rsidR="00AB16E8">
        <w:rPr>
          <w:lang w:val="fr-CA"/>
        </w:rPr>
        <w:t>’</w:t>
      </w:r>
      <w:r w:rsidRPr="002E7C5C">
        <w:rPr>
          <w:lang w:val="fr-CA"/>
        </w:rPr>
        <w:t>affichage telles que les écrans DEL qui économisent sur la consommation d</w:t>
      </w:r>
      <w:r w:rsidR="00AB16E8">
        <w:rPr>
          <w:lang w:val="fr-CA"/>
        </w:rPr>
        <w:t>’</w:t>
      </w:r>
      <w:r w:rsidRPr="002E7C5C">
        <w:rPr>
          <w:lang w:val="fr-CA"/>
        </w:rPr>
        <w:t>électricité.</w:t>
      </w:r>
    </w:p>
    <w:p w14:paraId="7C3CA4E9" w14:textId="6AB46941" w:rsidR="00BE6D99" w:rsidRPr="002E7C5C" w:rsidRDefault="003C3DC8" w:rsidP="00BE6D99">
      <w:pPr>
        <w:rPr>
          <w:lang w:val="fr-CA"/>
        </w:rPr>
      </w:pPr>
      <w:r>
        <w:rPr>
          <w:rStyle w:val="EmphasisUseSparingly"/>
          <w:lang w:val="fr-CA"/>
        </w:rPr>
        <w:t>Remarque</w:t>
      </w:r>
      <w:r w:rsidR="00BE6D99" w:rsidRPr="002E7C5C">
        <w:rPr>
          <w:rStyle w:val="EmphasisUseSparingly"/>
          <w:lang w:val="fr-CA"/>
        </w:rPr>
        <w:t xml:space="preserve"> 1</w:t>
      </w:r>
      <w:r w:rsidR="004A0CDA">
        <w:rPr>
          <w:rStyle w:val="EmphasisUseSparingly"/>
          <w:lang w:val="fr-CA"/>
        </w:rPr>
        <w:t> </w:t>
      </w:r>
      <w:r w:rsidR="00BE6D99" w:rsidRPr="002E7C5C">
        <w:rPr>
          <w:rStyle w:val="EmphasisUseSparingly"/>
          <w:lang w:val="fr-CA"/>
        </w:rPr>
        <w:t xml:space="preserve">: </w:t>
      </w:r>
      <w:r w:rsidR="00BE6D99" w:rsidRPr="002E7C5C">
        <w:rPr>
          <w:lang w:val="fr-CA"/>
        </w:rPr>
        <w:t>Des facteurs tels que la taille de l</w:t>
      </w:r>
      <w:r w:rsidR="00AB16E8">
        <w:rPr>
          <w:lang w:val="fr-CA"/>
        </w:rPr>
        <w:t>’</w:t>
      </w:r>
      <w:r w:rsidR="00BE6D99" w:rsidRPr="002E7C5C">
        <w:rPr>
          <w:lang w:val="fr-CA"/>
        </w:rPr>
        <w:t xml:space="preserve">écran, les heures de fonctionnement prévues et le </w:t>
      </w:r>
      <w:r w:rsidR="00831F0C">
        <w:rPr>
          <w:lang w:val="fr-CA"/>
        </w:rPr>
        <w:t>pas</w:t>
      </w:r>
      <w:r w:rsidR="00831F0C" w:rsidRPr="002E7C5C">
        <w:rPr>
          <w:lang w:val="fr-CA"/>
        </w:rPr>
        <w:t xml:space="preserve"> </w:t>
      </w:r>
      <w:r w:rsidR="00BE6D99" w:rsidRPr="002E7C5C">
        <w:rPr>
          <w:lang w:val="fr-CA"/>
        </w:rPr>
        <w:t>de pixel sont pris en compte pour aider à déterminer et réduire la consommation d</w:t>
      </w:r>
      <w:r w:rsidR="00AB16E8">
        <w:rPr>
          <w:lang w:val="fr-CA"/>
        </w:rPr>
        <w:t>’</w:t>
      </w:r>
      <w:r w:rsidR="00BE6D99" w:rsidRPr="002E7C5C">
        <w:rPr>
          <w:lang w:val="fr-CA"/>
        </w:rPr>
        <w:t>énergie.</w:t>
      </w:r>
    </w:p>
    <w:p w14:paraId="685F9D2A" w14:textId="6E7DBB37" w:rsidR="00BE6D99" w:rsidRDefault="003C3DC8" w:rsidP="00BE6D99">
      <w:pPr>
        <w:rPr>
          <w:lang w:val="fr-CA"/>
        </w:rPr>
      </w:pPr>
      <w:r>
        <w:rPr>
          <w:rStyle w:val="EmphasisUseSparingly"/>
          <w:lang w:val="fr-CA"/>
        </w:rPr>
        <w:t>Remarque</w:t>
      </w:r>
      <w:r w:rsidR="00BE6D99" w:rsidRPr="002E7C5C">
        <w:rPr>
          <w:rStyle w:val="EmphasisUseSparingly"/>
          <w:lang w:val="fr-CA"/>
        </w:rPr>
        <w:t xml:space="preserve"> 2</w:t>
      </w:r>
      <w:r w:rsidR="004A0CDA">
        <w:rPr>
          <w:rStyle w:val="EmphasisUseSparingly"/>
          <w:lang w:val="fr-CA"/>
        </w:rPr>
        <w:t> </w:t>
      </w:r>
      <w:r w:rsidR="00BE6D99" w:rsidRPr="002E7C5C">
        <w:rPr>
          <w:rStyle w:val="EmphasisUseSparingly"/>
          <w:lang w:val="fr-CA"/>
        </w:rPr>
        <w:t xml:space="preserve">: </w:t>
      </w:r>
      <w:r w:rsidR="00BE6D99" w:rsidRPr="002E7C5C">
        <w:rPr>
          <w:lang w:val="fr-CA"/>
        </w:rPr>
        <w:t xml:space="preserve">Le pas de pixel est la proximité relative des pixels lumineux qui composent un affichage DEL. Le </w:t>
      </w:r>
      <w:r w:rsidR="00B0612B">
        <w:rPr>
          <w:lang w:val="fr-CA"/>
        </w:rPr>
        <w:t xml:space="preserve">pas </w:t>
      </w:r>
      <w:r w:rsidR="00BE6D99" w:rsidRPr="002E7C5C">
        <w:rPr>
          <w:lang w:val="fr-CA"/>
        </w:rPr>
        <w:t>de pixel déterminera la meilleure distance de vision lors de l</w:t>
      </w:r>
      <w:r w:rsidR="00AB16E8">
        <w:rPr>
          <w:lang w:val="fr-CA"/>
        </w:rPr>
        <w:t>’</w:t>
      </w:r>
      <w:r w:rsidR="00BE6D99" w:rsidRPr="002E7C5C">
        <w:rPr>
          <w:lang w:val="fr-CA"/>
        </w:rPr>
        <w:t>accès aux informations à l</w:t>
      </w:r>
      <w:r w:rsidR="00175CDA">
        <w:rPr>
          <w:lang w:val="fr-CA"/>
        </w:rPr>
        <w:t>’</w:t>
      </w:r>
      <w:r w:rsidR="00BE6D99" w:rsidRPr="002E7C5C">
        <w:rPr>
          <w:lang w:val="fr-CA"/>
        </w:rPr>
        <w:t>écran.</w:t>
      </w:r>
    </w:p>
    <w:p w14:paraId="42876328" w14:textId="7F045184" w:rsidR="00BE6D99" w:rsidRDefault="00305521" w:rsidP="00F44FBE">
      <w:pPr>
        <w:pStyle w:val="Heading3"/>
      </w:pPr>
      <w:bookmarkStart w:id="670" w:name="_Toc219706248"/>
      <w:proofErr w:type="spellStart"/>
      <w:r>
        <w:t>Réflectivité</w:t>
      </w:r>
      <w:proofErr w:type="spellEnd"/>
      <w:r>
        <w:t xml:space="preserve"> et </w:t>
      </w:r>
      <w:proofErr w:type="spellStart"/>
      <w:r>
        <w:t>visibilité</w:t>
      </w:r>
      <w:proofErr w:type="spellEnd"/>
      <w:r>
        <w:t xml:space="preserve"> </w:t>
      </w:r>
      <w:proofErr w:type="spellStart"/>
      <w:r>
        <w:t>claire</w:t>
      </w:r>
      <w:bookmarkEnd w:id="670"/>
      <w:proofErr w:type="spellEnd"/>
    </w:p>
    <w:p w14:paraId="39A7D949" w14:textId="40F5F516" w:rsidR="00305521" w:rsidRDefault="00305521" w:rsidP="00305521">
      <w:pPr>
        <w:pStyle w:val="ListRef"/>
      </w:pPr>
      <w:r>
        <w:t xml:space="preserve">Les </w:t>
      </w:r>
      <w:proofErr w:type="spellStart"/>
      <w:r w:rsidR="00241528">
        <w:t>panneaux</w:t>
      </w:r>
      <w:proofErr w:type="spellEnd"/>
      <w:r>
        <w:t xml:space="preserve"> </w:t>
      </w:r>
      <w:proofErr w:type="spellStart"/>
      <w:proofErr w:type="gramStart"/>
      <w:r>
        <w:t>doivent</w:t>
      </w:r>
      <w:proofErr w:type="spellEnd"/>
      <w:r w:rsidR="004A0CDA">
        <w:t> </w:t>
      </w:r>
      <w:r>
        <w:t>:</w:t>
      </w:r>
      <w:proofErr w:type="gramEnd"/>
    </w:p>
    <w:p w14:paraId="6FAE6121" w14:textId="0A2497F7" w:rsidR="00305521" w:rsidRPr="00241528" w:rsidRDefault="009C5CFA" w:rsidP="003F66F0">
      <w:pPr>
        <w:pStyle w:val="ListRef"/>
        <w:numPr>
          <w:ilvl w:val="0"/>
          <w:numId w:val="66"/>
        </w:numPr>
        <w:rPr>
          <w:lang w:val="fr-CA"/>
        </w:rPr>
      </w:pPr>
      <w:proofErr w:type="gramStart"/>
      <w:r w:rsidRPr="009C5CFA">
        <w:rPr>
          <w:lang w:val="fr-CA"/>
        </w:rPr>
        <w:t>a</w:t>
      </w:r>
      <w:r>
        <w:rPr>
          <w:lang w:val="fr-CA"/>
        </w:rPr>
        <w:t>voir</w:t>
      </w:r>
      <w:proofErr w:type="gramEnd"/>
      <w:r>
        <w:rPr>
          <w:lang w:val="fr-CA"/>
        </w:rPr>
        <w:t xml:space="preserve"> </w:t>
      </w:r>
      <w:r w:rsidR="00305521" w:rsidRPr="00241528">
        <w:rPr>
          <w:lang w:val="fr-CA"/>
        </w:rPr>
        <w:t>des revêtements ou lentilles protectrices sur les surfaces d</w:t>
      </w:r>
      <w:r w:rsidR="00175CDA">
        <w:rPr>
          <w:lang w:val="fr-CA"/>
        </w:rPr>
        <w:t>’</w:t>
      </w:r>
      <w:r w:rsidR="00305521" w:rsidRPr="00241528">
        <w:rPr>
          <w:lang w:val="fr-CA"/>
        </w:rPr>
        <w:t xml:space="preserve">affichage des </w:t>
      </w:r>
      <w:r>
        <w:rPr>
          <w:lang w:val="fr-CA"/>
        </w:rPr>
        <w:t>panneaux</w:t>
      </w:r>
      <w:r w:rsidR="00305521" w:rsidRPr="00241528">
        <w:rPr>
          <w:lang w:val="fr-CA"/>
        </w:rPr>
        <w:t xml:space="preserve"> électroniques et numériques, qu</w:t>
      </w:r>
      <w:r w:rsidR="00175CDA">
        <w:rPr>
          <w:lang w:val="fr-CA"/>
        </w:rPr>
        <w:t>’</w:t>
      </w:r>
      <w:r>
        <w:rPr>
          <w:lang w:val="fr-CA"/>
        </w:rPr>
        <w:t>il</w:t>
      </w:r>
      <w:r w:rsidR="00305521" w:rsidRPr="00241528">
        <w:rPr>
          <w:lang w:val="fr-CA"/>
        </w:rPr>
        <w:t>s soient utilisés à l</w:t>
      </w:r>
      <w:r w:rsidR="00175CDA">
        <w:rPr>
          <w:lang w:val="fr-CA"/>
        </w:rPr>
        <w:t>’</w:t>
      </w:r>
      <w:r w:rsidR="00305521" w:rsidRPr="00241528">
        <w:rPr>
          <w:lang w:val="fr-CA"/>
        </w:rPr>
        <w:t>intérieur ou à l</w:t>
      </w:r>
      <w:r w:rsidR="00175CDA">
        <w:rPr>
          <w:lang w:val="fr-CA"/>
        </w:rPr>
        <w:t>’</w:t>
      </w:r>
      <w:r w:rsidR="00305521" w:rsidRPr="00241528">
        <w:rPr>
          <w:lang w:val="fr-CA"/>
        </w:rPr>
        <w:t>extérieur, afin de favoriser la durabilité, de protéger contre les impacts, de minimiser l</w:t>
      </w:r>
      <w:r w:rsidR="00175CDA">
        <w:rPr>
          <w:lang w:val="fr-CA"/>
        </w:rPr>
        <w:t>’</w:t>
      </w:r>
      <w:r w:rsidR="00305521" w:rsidRPr="00241528">
        <w:rPr>
          <w:lang w:val="fr-CA"/>
        </w:rPr>
        <w:t>impact des intempéries et d</w:t>
      </w:r>
      <w:r w:rsidR="00175CDA">
        <w:rPr>
          <w:lang w:val="fr-CA"/>
        </w:rPr>
        <w:t>’</w:t>
      </w:r>
      <w:r w:rsidR="00305521" w:rsidRPr="00241528">
        <w:rPr>
          <w:lang w:val="fr-CA"/>
        </w:rPr>
        <w:t>assurer une visibilité et une perception claires dans des conditions d</w:t>
      </w:r>
      <w:r w:rsidR="00175CDA">
        <w:rPr>
          <w:lang w:val="fr-CA"/>
        </w:rPr>
        <w:t>’</w:t>
      </w:r>
      <w:r w:rsidR="00305521" w:rsidRPr="00241528">
        <w:rPr>
          <w:lang w:val="fr-CA"/>
        </w:rPr>
        <w:t>éclairage et d</w:t>
      </w:r>
      <w:r w:rsidR="00175CDA">
        <w:rPr>
          <w:lang w:val="fr-CA"/>
        </w:rPr>
        <w:t>’</w:t>
      </w:r>
      <w:r w:rsidR="00305521" w:rsidRPr="00241528">
        <w:rPr>
          <w:lang w:val="fr-CA"/>
        </w:rPr>
        <w:t>environnement variables; et</w:t>
      </w:r>
    </w:p>
    <w:p w14:paraId="491B5C11" w14:textId="64C705C1" w:rsidR="00305521" w:rsidRPr="00241528" w:rsidRDefault="002428EB" w:rsidP="003F66F0">
      <w:pPr>
        <w:pStyle w:val="ListRef"/>
        <w:numPr>
          <w:ilvl w:val="0"/>
          <w:numId w:val="66"/>
        </w:numPr>
        <w:rPr>
          <w:lang w:val="fr-CA"/>
        </w:rPr>
      </w:pPr>
      <w:proofErr w:type="gramStart"/>
      <w:r>
        <w:rPr>
          <w:lang w:val="fr-CA"/>
        </w:rPr>
        <w:lastRenderedPageBreak/>
        <w:t>u</w:t>
      </w:r>
      <w:r w:rsidR="00305521" w:rsidRPr="00241528">
        <w:rPr>
          <w:lang w:val="fr-CA"/>
        </w:rPr>
        <w:t>tilise</w:t>
      </w:r>
      <w:r>
        <w:rPr>
          <w:lang w:val="fr-CA"/>
        </w:rPr>
        <w:t>r</w:t>
      </w:r>
      <w:proofErr w:type="gramEnd"/>
      <w:r w:rsidR="00305521" w:rsidRPr="00241528">
        <w:rPr>
          <w:lang w:val="fr-CA"/>
        </w:rPr>
        <w:t xml:space="preserve"> des finitions mates non réfléchissantes sur les panneaux électroniques pour afficher </w:t>
      </w:r>
      <w:r w:rsidR="00361DB7">
        <w:rPr>
          <w:lang w:val="fr-CA"/>
        </w:rPr>
        <w:t>du</w:t>
      </w:r>
      <w:r w:rsidR="00305521" w:rsidRPr="00241528">
        <w:rPr>
          <w:lang w:val="fr-CA"/>
        </w:rPr>
        <w:t xml:space="preserve"> contenu avec</w:t>
      </w:r>
      <w:r>
        <w:rPr>
          <w:lang w:val="fr-CA"/>
        </w:rPr>
        <w:t xml:space="preserve"> </w:t>
      </w:r>
      <w:r w:rsidR="00361DB7">
        <w:rPr>
          <w:lang w:val="fr-CA"/>
        </w:rPr>
        <w:t xml:space="preserve">un </w:t>
      </w:r>
      <w:r w:rsidR="00305521" w:rsidRPr="00241528">
        <w:rPr>
          <w:lang w:val="fr-CA"/>
        </w:rPr>
        <w:t xml:space="preserve">éblouissement et </w:t>
      </w:r>
      <w:r w:rsidR="0034225D">
        <w:rPr>
          <w:lang w:val="fr-CA"/>
        </w:rPr>
        <w:t>une</w:t>
      </w:r>
      <w:r w:rsidR="0034225D" w:rsidRPr="00241528">
        <w:rPr>
          <w:lang w:val="fr-CA"/>
        </w:rPr>
        <w:t xml:space="preserve"> réflectivité</w:t>
      </w:r>
      <w:r w:rsidR="0034225D">
        <w:rPr>
          <w:lang w:val="fr-CA"/>
        </w:rPr>
        <w:t xml:space="preserve"> r</w:t>
      </w:r>
      <w:r w:rsidR="0034225D">
        <w:rPr>
          <w:rFonts w:cs="Arial"/>
          <w:lang w:val="fr-CA"/>
        </w:rPr>
        <w:t>é</w:t>
      </w:r>
      <w:r w:rsidR="0034225D">
        <w:rPr>
          <w:lang w:val="fr-CA"/>
        </w:rPr>
        <w:t>duite</w:t>
      </w:r>
      <w:r w:rsidR="00305521" w:rsidRPr="00241528">
        <w:rPr>
          <w:lang w:val="fr-CA"/>
        </w:rPr>
        <w:t>.</w:t>
      </w:r>
    </w:p>
    <w:p w14:paraId="75D199EF" w14:textId="7C25D732" w:rsidR="00C534C1" w:rsidRDefault="00C534C1" w:rsidP="00C534C1">
      <w:pPr>
        <w:pStyle w:val="Heading3"/>
      </w:pPr>
      <w:bookmarkStart w:id="671" w:name="_Toc219706249"/>
      <w:proofErr w:type="spellStart"/>
      <w:r>
        <w:t>Facteurs</w:t>
      </w:r>
      <w:proofErr w:type="spellEnd"/>
      <w:r>
        <w:t xml:space="preserve"> de couleur</w:t>
      </w:r>
      <w:bookmarkEnd w:id="671"/>
    </w:p>
    <w:p w14:paraId="0FC5E9BE" w14:textId="36FC9142" w:rsidR="00C534C1" w:rsidRPr="00962BBD" w:rsidRDefault="00C534C1" w:rsidP="00C534C1">
      <w:pPr>
        <w:rPr>
          <w:lang w:val="fr-CA"/>
        </w:rPr>
      </w:pPr>
      <w:r w:rsidRPr="00962BBD">
        <w:rPr>
          <w:lang w:val="fr-CA"/>
        </w:rPr>
        <w:t>La signalisation électronique et numérique doit</w:t>
      </w:r>
      <w:r w:rsidR="004A0CDA">
        <w:rPr>
          <w:lang w:val="fr-CA"/>
        </w:rPr>
        <w:t> </w:t>
      </w:r>
      <w:r w:rsidRPr="00962BBD">
        <w:rPr>
          <w:lang w:val="fr-CA"/>
        </w:rPr>
        <w:t>:</w:t>
      </w:r>
    </w:p>
    <w:p w14:paraId="36A4EA3A" w14:textId="26B18455" w:rsidR="00C534C1" w:rsidRPr="00877353" w:rsidRDefault="00C534C1" w:rsidP="003F66F0">
      <w:pPr>
        <w:pStyle w:val="ListRef"/>
        <w:numPr>
          <w:ilvl w:val="0"/>
          <w:numId w:val="67"/>
        </w:numPr>
        <w:rPr>
          <w:lang w:val="fr-CA"/>
        </w:rPr>
      </w:pPr>
      <w:proofErr w:type="gramStart"/>
      <w:r w:rsidRPr="00877353">
        <w:rPr>
          <w:lang w:val="fr-CA"/>
        </w:rPr>
        <w:t>éviter</w:t>
      </w:r>
      <w:proofErr w:type="gramEnd"/>
      <w:r w:rsidRPr="00877353">
        <w:rPr>
          <w:lang w:val="fr-CA"/>
        </w:rPr>
        <w:t xml:space="preserve"> les </w:t>
      </w:r>
      <w:r w:rsidR="00043DCD">
        <w:rPr>
          <w:lang w:val="fr-CA"/>
        </w:rPr>
        <w:t>arrière-plans</w:t>
      </w:r>
      <w:r w:rsidRPr="00877353">
        <w:rPr>
          <w:lang w:val="fr-CA"/>
        </w:rPr>
        <w:t xml:space="preserve"> noirs lors de la mise en place de panneaux à DEL sur le chemin direct du soleil et utiliser plutôt des </w:t>
      </w:r>
      <w:r w:rsidR="00D60E40">
        <w:rPr>
          <w:lang w:val="fr-CA"/>
        </w:rPr>
        <w:t>arrière-plans</w:t>
      </w:r>
      <w:r w:rsidRPr="00877353">
        <w:rPr>
          <w:lang w:val="fr-CA"/>
        </w:rPr>
        <w:t xml:space="preserve"> plus clairs, afin de maintenir les ra</w:t>
      </w:r>
      <w:r w:rsidR="007B3FA2">
        <w:rPr>
          <w:lang w:val="fr-CA"/>
        </w:rPr>
        <w:t>pports</w:t>
      </w:r>
      <w:r w:rsidRPr="00877353">
        <w:rPr>
          <w:lang w:val="fr-CA"/>
        </w:rPr>
        <w:t xml:space="preserve"> requis indiqués dans cet</w:t>
      </w:r>
      <w:r w:rsidR="00710D62">
        <w:rPr>
          <w:lang w:val="fr-CA"/>
        </w:rPr>
        <w:t xml:space="preserve"> article;</w:t>
      </w:r>
    </w:p>
    <w:p w14:paraId="399CCBEE" w14:textId="270097C3" w:rsidR="00C534C1" w:rsidRPr="00962BBD" w:rsidRDefault="00C534C1" w:rsidP="003F66F0">
      <w:pPr>
        <w:pStyle w:val="ListRef"/>
        <w:numPr>
          <w:ilvl w:val="0"/>
          <w:numId w:val="67"/>
        </w:numPr>
        <w:rPr>
          <w:lang w:val="fr-CA"/>
        </w:rPr>
      </w:pPr>
      <w:proofErr w:type="gramStart"/>
      <w:r w:rsidRPr="00962BBD">
        <w:rPr>
          <w:lang w:val="fr-CA"/>
        </w:rPr>
        <w:t>obtenir</w:t>
      </w:r>
      <w:proofErr w:type="gramEnd"/>
      <w:r w:rsidRPr="00962BBD">
        <w:rPr>
          <w:lang w:val="fr-CA"/>
        </w:rPr>
        <w:t xml:space="preserve"> un rapport de contraste d</w:t>
      </w:r>
      <w:r w:rsidR="00175CDA">
        <w:rPr>
          <w:lang w:val="fr-CA"/>
        </w:rPr>
        <w:t>’</w:t>
      </w:r>
      <w:r w:rsidRPr="00962BBD">
        <w:rPr>
          <w:lang w:val="fr-CA"/>
        </w:rPr>
        <w:t xml:space="preserve">au moins 4,5:1 pour le texte régulier et un </w:t>
      </w:r>
      <w:r w:rsidR="000D79E8">
        <w:rPr>
          <w:lang w:val="fr-CA"/>
        </w:rPr>
        <w:t>rapport</w:t>
      </w:r>
      <w:r w:rsidRPr="00962BBD">
        <w:rPr>
          <w:lang w:val="fr-CA"/>
        </w:rPr>
        <w:t xml:space="preserve"> de 3:1 pour le grand texte lors de la détermination de l</w:t>
      </w:r>
      <w:r w:rsidR="00175CDA">
        <w:rPr>
          <w:lang w:val="fr-CA"/>
        </w:rPr>
        <w:t>’</w:t>
      </w:r>
      <w:r w:rsidRPr="00962BBD">
        <w:rPr>
          <w:lang w:val="fr-CA"/>
        </w:rPr>
        <w:t>arrière-plan et des couleurs du texte;</w:t>
      </w:r>
    </w:p>
    <w:p w14:paraId="612D0A4A" w14:textId="56250EDC" w:rsidR="00C534C1" w:rsidRPr="00962BBD" w:rsidRDefault="000D79E8" w:rsidP="00C534C1">
      <w:pPr>
        <w:pStyle w:val="ListRef"/>
        <w:ind w:left="1066" w:firstLine="0"/>
        <w:rPr>
          <w:lang w:val="fr-CA"/>
        </w:rPr>
      </w:pPr>
      <w:r>
        <w:rPr>
          <w:rStyle w:val="EmphasisUseSparingly"/>
          <w:lang w:val="fr-CA"/>
        </w:rPr>
        <w:t>Remarque</w:t>
      </w:r>
      <w:r w:rsidR="004A0CDA">
        <w:rPr>
          <w:rStyle w:val="EmphasisUseSparingly"/>
          <w:lang w:val="fr-CA"/>
        </w:rPr>
        <w:t> </w:t>
      </w:r>
      <w:r w:rsidR="00C534C1" w:rsidRPr="00962BBD">
        <w:rPr>
          <w:rStyle w:val="EmphasisUseSparingly"/>
          <w:lang w:val="fr-CA"/>
        </w:rPr>
        <w:t xml:space="preserve">: </w:t>
      </w:r>
      <w:r w:rsidR="00C534C1" w:rsidRPr="000D79E8">
        <w:rPr>
          <w:rStyle w:val="EmphasisUseSparingly"/>
          <w:b w:val="0"/>
          <w:bCs/>
          <w:lang w:val="fr-CA"/>
        </w:rPr>
        <w:t>L</w:t>
      </w:r>
      <w:r>
        <w:rPr>
          <w:rStyle w:val="EmphasisUseSparingly"/>
          <w:b w:val="0"/>
          <w:bCs/>
          <w:lang w:val="fr-CA"/>
        </w:rPr>
        <w:t>e</w:t>
      </w:r>
      <w:r w:rsidR="001738CB">
        <w:rPr>
          <w:rStyle w:val="EmphasisUseSparingly"/>
          <w:b w:val="0"/>
          <w:bCs/>
          <w:lang w:val="fr-CA"/>
        </w:rPr>
        <w:t xml:space="preserve"> gros</w:t>
      </w:r>
      <w:r>
        <w:rPr>
          <w:rStyle w:val="EmphasisUseSparingly"/>
          <w:b w:val="0"/>
          <w:bCs/>
          <w:lang w:val="fr-CA"/>
        </w:rPr>
        <w:t xml:space="preserve"> text</w:t>
      </w:r>
      <w:r w:rsidR="00A346BB">
        <w:rPr>
          <w:rStyle w:val="EmphasisUseSparingly"/>
          <w:b w:val="0"/>
          <w:bCs/>
          <w:lang w:val="fr-CA"/>
        </w:rPr>
        <w:t xml:space="preserve">e </w:t>
      </w:r>
      <w:r w:rsidR="00C534C1" w:rsidRPr="00962BBD">
        <w:rPr>
          <w:lang w:val="fr-CA"/>
        </w:rPr>
        <w:t>est défini comme ayant une taille de 18</w:t>
      </w:r>
      <w:r w:rsidR="003B2C52">
        <w:rPr>
          <w:lang w:val="fr-CA"/>
        </w:rPr>
        <w:t> </w:t>
      </w:r>
      <w:r w:rsidR="00C534C1" w:rsidRPr="00962BBD">
        <w:rPr>
          <w:lang w:val="fr-CA"/>
        </w:rPr>
        <w:t>points ou 14</w:t>
      </w:r>
      <w:r w:rsidR="003B2C52">
        <w:rPr>
          <w:lang w:val="fr-CA"/>
        </w:rPr>
        <w:t> </w:t>
      </w:r>
      <w:r w:rsidR="00C534C1" w:rsidRPr="00962BBD">
        <w:rPr>
          <w:lang w:val="fr-CA"/>
        </w:rPr>
        <w:t>points en gras et plus grand, tandis que le texte régulier est cohérent avec les tailles de police habituellement présentes dans le corps du texte.</w:t>
      </w:r>
    </w:p>
    <w:p w14:paraId="54929835" w14:textId="45DD23AC" w:rsidR="00C534C1" w:rsidRPr="00962BBD" w:rsidRDefault="00C534C1" w:rsidP="003F66F0">
      <w:pPr>
        <w:pStyle w:val="ListRef"/>
        <w:numPr>
          <w:ilvl w:val="0"/>
          <w:numId w:val="67"/>
        </w:numPr>
        <w:rPr>
          <w:lang w:val="fr-CA"/>
        </w:rPr>
      </w:pPr>
      <w:proofErr w:type="gramStart"/>
      <w:r w:rsidRPr="00962BBD">
        <w:rPr>
          <w:lang w:val="fr-CA"/>
        </w:rPr>
        <w:t>s</w:t>
      </w:r>
      <w:r w:rsidR="00175CDA">
        <w:rPr>
          <w:lang w:val="fr-CA"/>
        </w:rPr>
        <w:t>’</w:t>
      </w:r>
      <w:r w:rsidRPr="00962BBD">
        <w:rPr>
          <w:lang w:val="fr-CA"/>
        </w:rPr>
        <w:t>assurer</w:t>
      </w:r>
      <w:proofErr w:type="gramEnd"/>
      <w:r w:rsidRPr="00962BBD">
        <w:rPr>
          <w:lang w:val="fr-CA"/>
        </w:rPr>
        <w:t xml:space="preserve"> que les combinaisons de couleurs choisies pour le texte et l</w:t>
      </w:r>
      <w:r w:rsidR="00175CDA">
        <w:rPr>
          <w:lang w:val="fr-CA"/>
        </w:rPr>
        <w:t>’</w:t>
      </w:r>
      <w:r w:rsidRPr="00962BBD">
        <w:rPr>
          <w:lang w:val="fr-CA"/>
        </w:rPr>
        <w:t xml:space="preserve">arrière-plan </w:t>
      </w:r>
      <w:r w:rsidR="002F3A5F">
        <w:rPr>
          <w:lang w:val="fr-CA"/>
        </w:rPr>
        <w:t xml:space="preserve">mis à l’essai </w:t>
      </w:r>
      <w:r w:rsidRPr="00962BBD">
        <w:rPr>
          <w:lang w:val="fr-CA"/>
        </w:rPr>
        <w:t>pour minimiser le contraste à l</w:t>
      </w:r>
      <w:r w:rsidR="00175CDA">
        <w:rPr>
          <w:lang w:val="fr-CA"/>
        </w:rPr>
        <w:t>’</w:t>
      </w:r>
      <w:r w:rsidRPr="00962BBD">
        <w:rPr>
          <w:lang w:val="fr-CA"/>
        </w:rPr>
        <w:t>aide d</w:t>
      </w:r>
      <w:r w:rsidR="00175CDA">
        <w:rPr>
          <w:lang w:val="fr-CA"/>
        </w:rPr>
        <w:t>’</w:t>
      </w:r>
      <w:r w:rsidRPr="00962BBD">
        <w:rPr>
          <w:lang w:val="fr-CA"/>
        </w:rPr>
        <w:t>un analyseur numérique de contraste des couleurs crédible;</w:t>
      </w:r>
    </w:p>
    <w:p w14:paraId="088657D7" w14:textId="12AEFB3A" w:rsidR="00C534C1" w:rsidRPr="00962BBD" w:rsidRDefault="002F3A5F" w:rsidP="00C534C1">
      <w:pPr>
        <w:pStyle w:val="ListRef"/>
        <w:ind w:left="1066" w:firstLine="0"/>
        <w:rPr>
          <w:lang w:val="fr-CA"/>
        </w:rPr>
      </w:pPr>
      <w:r>
        <w:rPr>
          <w:rStyle w:val="EmphasisUseSparingly"/>
          <w:lang w:val="fr-CA"/>
        </w:rPr>
        <w:t>Remarqu</w:t>
      </w:r>
      <w:r w:rsidR="00C534C1" w:rsidRPr="00962BBD">
        <w:rPr>
          <w:rStyle w:val="EmphasisUseSparingly"/>
          <w:lang w:val="fr-CA"/>
        </w:rPr>
        <w:t>e</w:t>
      </w:r>
      <w:r w:rsidR="004A0CDA">
        <w:rPr>
          <w:rStyle w:val="EmphasisUseSparingly"/>
          <w:lang w:val="fr-CA"/>
        </w:rPr>
        <w:t> </w:t>
      </w:r>
      <w:r w:rsidR="00C534C1" w:rsidRPr="00962BBD">
        <w:rPr>
          <w:rStyle w:val="EmphasisUseSparingly"/>
          <w:lang w:val="fr-CA"/>
        </w:rPr>
        <w:t>:</w:t>
      </w:r>
      <w:r w:rsidR="00C534C1" w:rsidRPr="00962BBD">
        <w:rPr>
          <w:lang w:val="fr-CA"/>
        </w:rPr>
        <w:t xml:space="preserve"> Voir les articles </w:t>
      </w:r>
      <w:r w:rsidR="00CB2FED">
        <w:fldChar w:fldCharType="begin"/>
      </w:r>
      <w:r w:rsidR="00CB2FED" w:rsidRPr="007C0FBA">
        <w:rPr>
          <w:lang w:val="fr-CA"/>
        </w:rPr>
        <w:instrText>HYPERLINK \l "_Luminance_contrast"</w:instrText>
      </w:r>
      <w:r w:rsidR="00CB2FED">
        <w:fldChar w:fldCharType="separate"/>
      </w:r>
      <w:r w:rsidR="00CB2FED" w:rsidRPr="00962BBD">
        <w:rPr>
          <w:rStyle w:val="Hyperlink"/>
          <w:lang w:val="fr-CA"/>
        </w:rPr>
        <w:t>1</w:t>
      </w:r>
      <w:r w:rsidR="0052463E">
        <w:rPr>
          <w:rStyle w:val="Hyperlink"/>
          <w:lang w:val="fr-CA"/>
        </w:rPr>
        <w:t>0</w:t>
      </w:r>
      <w:r w:rsidR="00CB2FED" w:rsidRPr="00962BBD">
        <w:rPr>
          <w:rStyle w:val="Hyperlink"/>
          <w:lang w:val="fr-CA"/>
        </w:rPr>
        <w:t>.2</w:t>
      </w:r>
      <w:r w:rsidR="00CB2FED">
        <w:fldChar w:fldCharType="end"/>
      </w:r>
      <w:r w:rsidR="00C534C1" w:rsidRPr="00962BBD">
        <w:rPr>
          <w:lang w:val="fr-CA"/>
        </w:rPr>
        <w:t xml:space="preserve"> et </w:t>
      </w:r>
      <w:r w:rsidR="00665761">
        <w:fldChar w:fldCharType="begin"/>
      </w:r>
      <w:r w:rsidR="00665761" w:rsidRPr="007C0FBA">
        <w:rPr>
          <w:lang w:val="fr-CA"/>
        </w:rPr>
        <w:instrText>HYPERLINK \l "_Colour_contrast"</w:instrText>
      </w:r>
      <w:r w:rsidR="00665761">
        <w:fldChar w:fldCharType="separate"/>
      </w:r>
      <w:r w:rsidR="00665761" w:rsidRPr="00962BBD">
        <w:rPr>
          <w:rStyle w:val="Hyperlink"/>
          <w:lang w:val="fr-CA"/>
        </w:rPr>
        <w:t>1</w:t>
      </w:r>
      <w:r w:rsidR="0052463E">
        <w:rPr>
          <w:rStyle w:val="Hyperlink"/>
          <w:lang w:val="fr-CA"/>
        </w:rPr>
        <w:t>2</w:t>
      </w:r>
      <w:r w:rsidR="00665761" w:rsidRPr="00962BBD">
        <w:rPr>
          <w:rStyle w:val="Hyperlink"/>
          <w:lang w:val="fr-CA"/>
        </w:rPr>
        <w:t>.5</w:t>
      </w:r>
      <w:r w:rsidR="00665761">
        <w:fldChar w:fldCharType="end"/>
      </w:r>
      <w:r w:rsidR="00C534C1" w:rsidRPr="00962BBD">
        <w:rPr>
          <w:lang w:val="fr-CA"/>
        </w:rPr>
        <w:t xml:space="preserve"> pour plus d</w:t>
      </w:r>
      <w:r w:rsidR="00175CDA">
        <w:rPr>
          <w:lang w:val="fr-CA"/>
        </w:rPr>
        <w:t>’</w:t>
      </w:r>
      <w:r w:rsidR="00C534C1" w:rsidRPr="00962BBD">
        <w:rPr>
          <w:lang w:val="fr-CA"/>
        </w:rPr>
        <w:t>informations sur le contraste des couleurs.</w:t>
      </w:r>
    </w:p>
    <w:p w14:paraId="598C2C48" w14:textId="1207637B" w:rsidR="00C534C1" w:rsidRPr="00962BBD" w:rsidRDefault="00C534C1" w:rsidP="003F66F0">
      <w:pPr>
        <w:pStyle w:val="ListRef"/>
        <w:numPr>
          <w:ilvl w:val="0"/>
          <w:numId w:val="67"/>
        </w:numPr>
        <w:rPr>
          <w:lang w:val="fr-CA"/>
        </w:rPr>
      </w:pPr>
      <w:proofErr w:type="gramStart"/>
      <w:r w:rsidRPr="00962BBD">
        <w:rPr>
          <w:lang w:val="fr-CA"/>
        </w:rPr>
        <w:t>privilégier</w:t>
      </w:r>
      <w:proofErr w:type="gramEnd"/>
      <w:r w:rsidRPr="00962BBD">
        <w:rPr>
          <w:lang w:val="fr-CA"/>
        </w:rPr>
        <w:t xml:space="preserve"> les arrière-plans </w:t>
      </w:r>
      <w:r w:rsidR="00F47237">
        <w:rPr>
          <w:lang w:val="fr-CA"/>
        </w:rPr>
        <w:t>solides</w:t>
      </w:r>
      <w:r w:rsidRPr="00962BBD">
        <w:rPr>
          <w:lang w:val="fr-CA"/>
        </w:rPr>
        <w:t xml:space="preserve"> plutôt que les </w:t>
      </w:r>
      <w:r w:rsidR="00F47237">
        <w:rPr>
          <w:lang w:val="fr-CA"/>
        </w:rPr>
        <w:t>arrière-plans</w:t>
      </w:r>
      <w:r w:rsidR="00BE1BA3">
        <w:rPr>
          <w:lang w:val="fr-CA"/>
        </w:rPr>
        <w:t xml:space="preserve"> en</w:t>
      </w:r>
      <w:r w:rsidRPr="00962BBD">
        <w:rPr>
          <w:lang w:val="fr-CA"/>
        </w:rPr>
        <w:t xml:space="preserve"> dégradés ou </w:t>
      </w:r>
      <w:r w:rsidR="003531DA">
        <w:rPr>
          <w:rFonts w:cs="Arial"/>
          <w:lang w:val="fr-CA"/>
        </w:rPr>
        <w:t>à</w:t>
      </w:r>
      <w:r w:rsidRPr="00962BBD">
        <w:rPr>
          <w:lang w:val="fr-CA"/>
        </w:rPr>
        <w:t xml:space="preserve"> motifs pour éviter la confusion et les difficultés de lecture; et </w:t>
      </w:r>
    </w:p>
    <w:p w14:paraId="4FE7EEED" w14:textId="6ED2B764" w:rsidR="00C534C1" w:rsidRPr="00962BBD" w:rsidRDefault="003531DA" w:rsidP="003F66F0">
      <w:pPr>
        <w:pStyle w:val="ListRef"/>
        <w:numPr>
          <w:ilvl w:val="0"/>
          <w:numId w:val="67"/>
        </w:numPr>
        <w:rPr>
          <w:lang w:val="fr-CA"/>
        </w:rPr>
      </w:pPr>
      <w:proofErr w:type="gramStart"/>
      <w:r>
        <w:rPr>
          <w:lang w:val="fr-CA"/>
        </w:rPr>
        <w:t>é</w:t>
      </w:r>
      <w:r w:rsidRPr="00962BBD">
        <w:rPr>
          <w:lang w:val="fr-CA"/>
        </w:rPr>
        <w:t>vite</w:t>
      </w:r>
      <w:r>
        <w:rPr>
          <w:lang w:val="fr-CA"/>
        </w:rPr>
        <w:t>r</w:t>
      </w:r>
      <w:proofErr w:type="gramEnd"/>
      <w:r w:rsidR="00C534C1" w:rsidRPr="00962BBD">
        <w:rPr>
          <w:lang w:val="fr-CA"/>
        </w:rPr>
        <w:t xml:space="preserve"> d</w:t>
      </w:r>
      <w:r w:rsidR="00175CDA">
        <w:rPr>
          <w:lang w:val="fr-CA"/>
        </w:rPr>
        <w:t>’</w:t>
      </w:r>
      <w:r w:rsidR="00C534C1" w:rsidRPr="00962BBD">
        <w:rPr>
          <w:lang w:val="fr-CA"/>
        </w:rPr>
        <w:t>utiliser la couleur comme seul moyen de communication.</w:t>
      </w:r>
    </w:p>
    <w:p w14:paraId="167714F0" w14:textId="6A56A37E" w:rsidR="00C534C1" w:rsidRDefault="00C225CF" w:rsidP="00C225CF">
      <w:pPr>
        <w:pStyle w:val="Heading3"/>
      </w:pPr>
      <w:bookmarkStart w:id="672" w:name="_Messaging"/>
      <w:bookmarkStart w:id="673" w:name="_Toc219706250"/>
      <w:bookmarkEnd w:id="672"/>
      <w:proofErr w:type="spellStart"/>
      <w:r>
        <w:lastRenderedPageBreak/>
        <w:t>Messagerie</w:t>
      </w:r>
      <w:bookmarkEnd w:id="673"/>
      <w:proofErr w:type="spellEnd"/>
    </w:p>
    <w:p w14:paraId="5371C487" w14:textId="45B1A3FD" w:rsidR="00C225CF" w:rsidRPr="00830096" w:rsidRDefault="00C225CF" w:rsidP="00C225CF">
      <w:pPr>
        <w:rPr>
          <w:lang w:val="fr-CA"/>
        </w:rPr>
      </w:pPr>
      <w:r w:rsidRPr="00830096">
        <w:rPr>
          <w:lang w:val="fr-CA"/>
        </w:rPr>
        <w:t>Considérez comment une personne qui obtient de l</w:t>
      </w:r>
      <w:r w:rsidR="00175CDA">
        <w:rPr>
          <w:lang w:val="fr-CA"/>
        </w:rPr>
        <w:t>’</w:t>
      </w:r>
      <w:r w:rsidRPr="00830096">
        <w:rPr>
          <w:lang w:val="fr-CA"/>
        </w:rPr>
        <w:t>information par d</w:t>
      </w:r>
      <w:r w:rsidR="00175CDA">
        <w:rPr>
          <w:lang w:val="fr-CA"/>
        </w:rPr>
        <w:t>’</w:t>
      </w:r>
      <w:r w:rsidRPr="00830096">
        <w:rPr>
          <w:lang w:val="fr-CA"/>
        </w:rPr>
        <w:t>autres moyens comme l</w:t>
      </w:r>
      <w:r w:rsidR="00175CDA">
        <w:rPr>
          <w:lang w:val="fr-CA"/>
        </w:rPr>
        <w:t>’</w:t>
      </w:r>
      <w:r w:rsidRPr="00830096">
        <w:rPr>
          <w:lang w:val="fr-CA"/>
        </w:rPr>
        <w:t xml:space="preserve">audio ou le tactile peut recevoir facilement le même message. Parmi les alternatives, on retrouve des sièges accessibles/inclusifs, la présentation audio simultanée du message, la messagerie </w:t>
      </w:r>
      <w:r w:rsidR="00F05FFD">
        <w:rPr>
          <w:lang w:val="fr-CA"/>
        </w:rPr>
        <w:t>disponible en</w:t>
      </w:r>
      <w:r w:rsidRPr="00830096">
        <w:rPr>
          <w:lang w:val="fr-CA"/>
        </w:rPr>
        <w:t xml:space="preserve"> audio en appuyant sur un bouton ou </w:t>
      </w:r>
      <w:r w:rsidR="00134D55">
        <w:rPr>
          <w:lang w:val="fr-CA"/>
        </w:rPr>
        <w:t>par</w:t>
      </w:r>
      <w:r w:rsidRPr="00830096">
        <w:rPr>
          <w:lang w:val="fr-CA"/>
        </w:rPr>
        <w:t xml:space="preserve"> message préenregistré par téléphone.</w:t>
      </w:r>
    </w:p>
    <w:p w14:paraId="4E8D5971" w14:textId="10E6ABA6" w:rsidR="00C225CF" w:rsidRPr="00BB59EC" w:rsidRDefault="00C225CF" w:rsidP="004C2922">
      <w:pPr>
        <w:keepLines w:val="0"/>
        <w:spacing w:before="0" w:beforeAutospacing="0" w:line="259" w:lineRule="auto"/>
      </w:pPr>
      <w:r>
        <w:t xml:space="preserve">Les messages </w:t>
      </w:r>
      <w:proofErr w:type="spellStart"/>
      <w:proofErr w:type="gramStart"/>
      <w:r>
        <w:t>doivent</w:t>
      </w:r>
      <w:proofErr w:type="spellEnd"/>
      <w:r w:rsidR="004A0CDA">
        <w:t> </w:t>
      </w:r>
      <w:r>
        <w:t>:</w:t>
      </w:r>
      <w:proofErr w:type="gramEnd"/>
    </w:p>
    <w:p w14:paraId="1FAD1B32" w14:textId="65949220" w:rsidR="00C225CF" w:rsidRPr="00F7593B" w:rsidRDefault="00C225CF" w:rsidP="003F66F0">
      <w:pPr>
        <w:pStyle w:val="ListRef"/>
        <w:numPr>
          <w:ilvl w:val="0"/>
          <w:numId w:val="68"/>
        </w:numPr>
        <w:rPr>
          <w:lang w:val="fr-CA"/>
        </w:rPr>
      </w:pPr>
      <w:proofErr w:type="gramStart"/>
      <w:r w:rsidRPr="00F7593B">
        <w:rPr>
          <w:lang w:val="fr-CA"/>
        </w:rPr>
        <w:t>éviter</w:t>
      </w:r>
      <w:proofErr w:type="gramEnd"/>
      <w:r w:rsidRPr="00F7593B">
        <w:rPr>
          <w:lang w:val="fr-CA"/>
        </w:rPr>
        <w:t xml:space="preserve"> de faire défiler le texte et les mouvements dans le contenu affiché;</w:t>
      </w:r>
    </w:p>
    <w:p w14:paraId="4EF90A28" w14:textId="36F4149E" w:rsidR="00C225CF" w:rsidRPr="00F7593B" w:rsidRDefault="00C225CF" w:rsidP="003F66F0">
      <w:pPr>
        <w:pStyle w:val="ListRef"/>
        <w:numPr>
          <w:ilvl w:val="0"/>
          <w:numId w:val="68"/>
        </w:numPr>
        <w:rPr>
          <w:lang w:val="fr-CA"/>
        </w:rPr>
      </w:pPr>
      <w:proofErr w:type="gramStart"/>
      <w:r w:rsidRPr="00F7593B">
        <w:rPr>
          <w:lang w:val="fr-CA"/>
        </w:rPr>
        <w:t>être</w:t>
      </w:r>
      <w:proofErr w:type="gramEnd"/>
      <w:r w:rsidRPr="00F7593B">
        <w:rPr>
          <w:lang w:val="fr-CA"/>
        </w:rPr>
        <w:t xml:space="preserve"> synchronisé</w:t>
      </w:r>
      <w:r w:rsidR="002D46FC">
        <w:rPr>
          <w:lang w:val="fr-CA"/>
        </w:rPr>
        <w:t>e</w:t>
      </w:r>
      <w:r w:rsidRPr="00F7593B">
        <w:rPr>
          <w:lang w:val="fr-CA"/>
        </w:rPr>
        <w:t xml:space="preserve"> de façon appropriée pour l</w:t>
      </w:r>
      <w:r w:rsidR="00175CDA">
        <w:rPr>
          <w:lang w:val="fr-CA"/>
        </w:rPr>
        <w:t>’</w:t>
      </w:r>
      <w:r w:rsidRPr="00F7593B">
        <w:rPr>
          <w:lang w:val="fr-CA"/>
        </w:rPr>
        <w:t>affichage électronique et numérique, assurant que la vitesse de changement de messages permet un temps de visionnage optimal de 10 à 15</w:t>
      </w:r>
      <w:r w:rsidR="003B2C52">
        <w:rPr>
          <w:lang w:val="fr-CA"/>
        </w:rPr>
        <w:t> </w:t>
      </w:r>
      <w:r w:rsidRPr="00F7593B">
        <w:rPr>
          <w:lang w:val="fr-CA"/>
        </w:rPr>
        <w:t>secondes par écran, basé sur un niveau de lecture de huitième année; et</w:t>
      </w:r>
    </w:p>
    <w:p w14:paraId="430774D3" w14:textId="5ECF3947" w:rsidR="00C225CF" w:rsidRPr="00F7593B" w:rsidRDefault="00C225CF" w:rsidP="003F66F0">
      <w:pPr>
        <w:pStyle w:val="ListRef"/>
        <w:numPr>
          <w:ilvl w:val="0"/>
          <w:numId w:val="68"/>
        </w:numPr>
        <w:rPr>
          <w:lang w:val="fr-CA"/>
        </w:rPr>
      </w:pPr>
      <w:proofErr w:type="gramStart"/>
      <w:r w:rsidRPr="00F7593B">
        <w:rPr>
          <w:lang w:val="fr-CA"/>
        </w:rPr>
        <w:t>afficher</w:t>
      </w:r>
      <w:proofErr w:type="gramEnd"/>
      <w:r w:rsidRPr="00F7593B">
        <w:rPr>
          <w:lang w:val="fr-CA"/>
        </w:rPr>
        <w:t xml:space="preserve"> l</w:t>
      </w:r>
      <w:r w:rsidR="00175CDA">
        <w:rPr>
          <w:lang w:val="fr-CA"/>
        </w:rPr>
        <w:t>’</w:t>
      </w:r>
      <w:r w:rsidRPr="00F7593B">
        <w:rPr>
          <w:lang w:val="fr-CA"/>
        </w:rPr>
        <w:t>information dans plusieurs langues en présentant le message complet dans une langue avant de passer à d</w:t>
      </w:r>
      <w:r w:rsidR="00175CDA">
        <w:rPr>
          <w:lang w:val="fr-CA"/>
        </w:rPr>
        <w:t>’</w:t>
      </w:r>
      <w:r w:rsidRPr="00F7593B">
        <w:rPr>
          <w:lang w:val="fr-CA"/>
        </w:rPr>
        <w:t>autres langues.</w:t>
      </w:r>
    </w:p>
    <w:p w14:paraId="3FEF1E7F" w14:textId="790EAC54" w:rsidR="00C225CF" w:rsidRPr="00EE1529" w:rsidRDefault="002F4F25" w:rsidP="00CC0FE6">
      <w:pPr>
        <w:pStyle w:val="Heading3"/>
        <w:ind w:left="1418" w:hanging="1418"/>
        <w:rPr>
          <w:lang w:val="fr-CA"/>
        </w:rPr>
      </w:pPr>
      <w:bookmarkStart w:id="674" w:name="_Toc219706251"/>
      <w:r w:rsidRPr="00EE1529">
        <w:rPr>
          <w:lang w:val="fr-CA"/>
        </w:rPr>
        <w:t>Animations, éléments clignotants et graphi</w:t>
      </w:r>
      <w:r w:rsidR="00EE1529" w:rsidRPr="00EE1529">
        <w:rPr>
          <w:lang w:val="fr-CA"/>
        </w:rPr>
        <w:t>qu</w:t>
      </w:r>
      <w:r w:rsidR="00EE1529">
        <w:rPr>
          <w:lang w:val="fr-CA"/>
        </w:rPr>
        <w:t>es</w:t>
      </w:r>
      <w:bookmarkEnd w:id="674"/>
    </w:p>
    <w:p w14:paraId="330D5359" w14:textId="31E1B59F" w:rsidR="002F4F25" w:rsidRPr="00CC0FE6" w:rsidRDefault="002F4F25" w:rsidP="002F4F25">
      <w:pPr>
        <w:rPr>
          <w:lang w:val="fr-CA"/>
        </w:rPr>
      </w:pPr>
      <w:r w:rsidRPr="00CC0FE6">
        <w:rPr>
          <w:lang w:val="fr-CA"/>
        </w:rPr>
        <w:t>Afin de réduire le risque de préjudice pour les spectateurs et de promouvoir une expérience de lecture claire et confortable auprès d</w:t>
      </w:r>
      <w:r w:rsidR="00175CDA">
        <w:rPr>
          <w:lang w:val="fr-CA"/>
        </w:rPr>
        <w:t>’</w:t>
      </w:r>
      <w:r w:rsidRPr="00CC0FE6">
        <w:rPr>
          <w:lang w:val="fr-CA"/>
        </w:rPr>
        <w:t>un large public, les mesures suivantes seront respectées</w:t>
      </w:r>
      <w:r w:rsidR="004A0CDA">
        <w:rPr>
          <w:lang w:val="fr-CA"/>
        </w:rPr>
        <w:t> </w:t>
      </w:r>
      <w:r w:rsidRPr="00CC0FE6">
        <w:rPr>
          <w:lang w:val="fr-CA"/>
        </w:rPr>
        <w:t>:</w:t>
      </w:r>
    </w:p>
    <w:p w14:paraId="214339CD" w14:textId="7098FACD" w:rsidR="002F4F25" w:rsidRPr="00CC0FE6" w:rsidRDefault="002F4F25" w:rsidP="003F66F0">
      <w:pPr>
        <w:pStyle w:val="ListRef"/>
        <w:numPr>
          <w:ilvl w:val="0"/>
          <w:numId w:val="69"/>
        </w:numPr>
        <w:rPr>
          <w:lang w:val="fr-CA"/>
        </w:rPr>
      </w:pPr>
      <w:proofErr w:type="gramStart"/>
      <w:r w:rsidRPr="00CC0FE6">
        <w:rPr>
          <w:lang w:val="fr-CA"/>
        </w:rPr>
        <w:t>évite</w:t>
      </w:r>
      <w:proofErr w:type="gramEnd"/>
      <w:r w:rsidRPr="00CC0FE6">
        <w:rPr>
          <w:lang w:val="fr-CA"/>
        </w:rPr>
        <w:t xml:space="preserve"> les éléments, le texte ou les arrière-plans</w:t>
      </w:r>
      <w:r w:rsidR="0006484F">
        <w:rPr>
          <w:lang w:val="fr-CA"/>
        </w:rPr>
        <w:t xml:space="preserve"> </w:t>
      </w:r>
      <w:r w:rsidR="0006484F" w:rsidRPr="00CC0FE6">
        <w:rPr>
          <w:lang w:val="fr-CA"/>
        </w:rPr>
        <w:t>clignotants</w:t>
      </w:r>
      <w:r w:rsidRPr="00CC0FE6">
        <w:rPr>
          <w:lang w:val="fr-CA"/>
        </w:rPr>
        <w:t>;</w:t>
      </w:r>
    </w:p>
    <w:p w14:paraId="2B0D375B" w14:textId="13063D55" w:rsidR="002F4F25" w:rsidRPr="00CC0FE6" w:rsidRDefault="002F4F25" w:rsidP="003F66F0">
      <w:pPr>
        <w:pStyle w:val="ListRef"/>
        <w:numPr>
          <w:ilvl w:val="0"/>
          <w:numId w:val="69"/>
        </w:numPr>
        <w:rPr>
          <w:lang w:val="fr-CA"/>
        </w:rPr>
      </w:pPr>
      <w:proofErr w:type="gramStart"/>
      <w:r w:rsidRPr="00CC0FE6">
        <w:rPr>
          <w:lang w:val="fr-CA"/>
        </w:rPr>
        <w:t>rédui</w:t>
      </w:r>
      <w:r w:rsidR="00A8126E">
        <w:rPr>
          <w:lang w:val="fr-CA"/>
        </w:rPr>
        <w:t>s</w:t>
      </w:r>
      <w:proofErr w:type="gramEnd"/>
      <w:r w:rsidRPr="00CC0FE6">
        <w:rPr>
          <w:lang w:val="fr-CA"/>
        </w:rPr>
        <w:t xml:space="preserve"> le mouvement en évitant l</w:t>
      </w:r>
      <w:r w:rsidR="00175CDA">
        <w:rPr>
          <w:lang w:val="fr-CA"/>
        </w:rPr>
        <w:t>’</w:t>
      </w:r>
      <w:r w:rsidRPr="00CC0FE6">
        <w:rPr>
          <w:lang w:val="fr-CA"/>
        </w:rPr>
        <w:t>utilisation de texte</w:t>
      </w:r>
      <w:r w:rsidR="00F9753B">
        <w:rPr>
          <w:lang w:val="fr-CA"/>
        </w:rPr>
        <w:t xml:space="preserve">, de formes ou de graphiques </w:t>
      </w:r>
      <w:r w:rsidRPr="00CC0FE6">
        <w:rPr>
          <w:lang w:val="fr-CA"/>
        </w:rPr>
        <w:t>animé</w:t>
      </w:r>
      <w:r w:rsidR="00804DFB">
        <w:rPr>
          <w:lang w:val="fr-CA"/>
        </w:rPr>
        <w:t>s</w:t>
      </w:r>
      <w:r w:rsidRPr="00CC0FE6">
        <w:rPr>
          <w:lang w:val="fr-CA"/>
        </w:rPr>
        <w:t>; et</w:t>
      </w:r>
    </w:p>
    <w:p w14:paraId="35115548" w14:textId="1CA4C551" w:rsidR="002F4F25" w:rsidRPr="00CC0FE6" w:rsidRDefault="002F4F25" w:rsidP="003F66F0">
      <w:pPr>
        <w:pStyle w:val="ListRef"/>
        <w:numPr>
          <w:ilvl w:val="0"/>
          <w:numId w:val="69"/>
        </w:numPr>
        <w:rPr>
          <w:lang w:val="fr-CA"/>
        </w:rPr>
      </w:pPr>
      <w:proofErr w:type="gramStart"/>
      <w:r w:rsidRPr="00CC0FE6">
        <w:rPr>
          <w:lang w:val="fr-CA"/>
        </w:rPr>
        <w:t>n</w:t>
      </w:r>
      <w:r w:rsidR="00175CDA">
        <w:rPr>
          <w:lang w:val="fr-CA"/>
        </w:rPr>
        <w:t>’</w:t>
      </w:r>
      <w:r w:rsidRPr="00CC0FE6">
        <w:rPr>
          <w:lang w:val="fr-CA"/>
        </w:rPr>
        <w:t>inclu</w:t>
      </w:r>
      <w:r w:rsidR="00804DFB">
        <w:rPr>
          <w:lang w:val="fr-CA"/>
        </w:rPr>
        <w:t>s</w:t>
      </w:r>
      <w:proofErr w:type="gramEnd"/>
      <w:r w:rsidRPr="00CC0FE6">
        <w:rPr>
          <w:lang w:val="fr-CA"/>
        </w:rPr>
        <w:t xml:space="preserve"> pas les graphiques qui n</w:t>
      </w:r>
      <w:r w:rsidR="00175CDA">
        <w:rPr>
          <w:lang w:val="fr-CA"/>
        </w:rPr>
        <w:t>’</w:t>
      </w:r>
      <w:r w:rsidRPr="00CC0FE6">
        <w:rPr>
          <w:lang w:val="fr-CA"/>
        </w:rPr>
        <w:t>ont aucun lien avec le message.</w:t>
      </w:r>
    </w:p>
    <w:p w14:paraId="733E2B3A" w14:textId="065F2182" w:rsidR="002F4F25" w:rsidRDefault="009A587D" w:rsidP="009A587D">
      <w:pPr>
        <w:pStyle w:val="Heading3"/>
      </w:pPr>
      <w:bookmarkStart w:id="675" w:name="_Toc219706252"/>
      <w:proofErr w:type="spellStart"/>
      <w:r>
        <w:lastRenderedPageBreak/>
        <w:t>Acoustique</w:t>
      </w:r>
      <w:bookmarkEnd w:id="675"/>
      <w:proofErr w:type="spellEnd"/>
    </w:p>
    <w:p w14:paraId="4F42AFA4" w14:textId="4158D77B" w:rsidR="00AC7C78" w:rsidRPr="00646003" w:rsidRDefault="00AC7C78" w:rsidP="00AC7C78">
      <w:pPr>
        <w:rPr>
          <w:lang w:val="fr-CA"/>
        </w:rPr>
      </w:pPr>
      <w:r w:rsidRPr="00646003">
        <w:rPr>
          <w:lang w:val="fr-CA"/>
        </w:rPr>
        <w:t>L</w:t>
      </w:r>
      <w:r w:rsidR="00175CDA">
        <w:rPr>
          <w:lang w:val="fr-CA"/>
        </w:rPr>
        <w:t>’</w:t>
      </w:r>
      <w:r w:rsidRPr="00646003">
        <w:rPr>
          <w:lang w:val="fr-CA"/>
        </w:rPr>
        <w:t xml:space="preserve">accessibilité </w:t>
      </w:r>
      <w:r w:rsidR="00FE2DDE">
        <w:rPr>
          <w:lang w:val="fr-CA"/>
        </w:rPr>
        <w:t>audible</w:t>
      </w:r>
      <w:r w:rsidRPr="00646003">
        <w:rPr>
          <w:lang w:val="fr-CA"/>
        </w:rPr>
        <w:t xml:space="preserve"> pour la signalisation numérique et électronique doit</w:t>
      </w:r>
      <w:r w:rsidR="004A0CDA">
        <w:rPr>
          <w:lang w:val="fr-CA"/>
        </w:rPr>
        <w:t> </w:t>
      </w:r>
      <w:r w:rsidRPr="00646003">
        <w:rPr>
          <w:lang w:val="fr-CA"/>
        </w:rPr>
        <w:t>:</w:t>
      </w:r>
    </w:p>
    <w:p w14:paraId="4C591625" w14:textId="0C279084" w:rsidR="00AC7C78" w:rsidRPr="00646003" w:rsidRDefault="00FE2DDE" w:rsidP="003F66F0">
      <w:pPr>
        <w:pStyle w:val="ListRef"/>
        <w:numPr>
          <w:ilvl w:val="0"/>
          <w:numId w:val="70"/>
        </w:numPr>
        <w:rPr>
          <w:lang w:val="fr-CA"/>
        </w:rPr>
      </w:pPr>
      <w:proofErr w:type="gramStart"/>
      <w:r>
        <w:rPr>
          <w:lang w:val="fr-CA"/>
        </w:rPr>
        <w:t>a</w:t>
      </w:r>
      <w:r w:rsidR="00AC7C78" w:rsidRPr="00646003">
        <w:rPr>
          <w:lang w:val="fr-CA"/>
        </w:rPr>
        <w:t>ccompagne</w:t>
      </w:r>
      <w:r>
        <w:rPr>
          <w:lang w:val="fr-CA"/>
        </w:rPr>
        <w:t>r</w:t>
      </w:r>
      <w:proofErr w:type="gramEnd"/>
      <w:r w:rsidR="00AC7C78" w:rsidRPr="00646003">
        <w:rPr>
          <w:lang w:val="fr-CA"/>
        </w:rPr>
        <w:t xml:space="preserve"> </w:t>
      </w:r>
      <w:r w:rsidR="00585639">
        <w:rPr>
          <w:lang w:val="fr-CA"/>
        </w:rPr>
        <w:t>les panneaux</w:t>
      </w:r>
      <w:r w:rsidR="00AC7C78" w:rsidRPr="00646003">
        <w:rPr>
          <w:lang w:val="fr-CA"/>
        </w:rPr>
        <w:t xml:space="preserve"> qui affichent du texte avec le message sonore équivalent qui correspond à un ou plusieurs des éléments suivants</w:t>
      </w:r>
      <w:r w:rsidR="004A0CDA">
        <w:rPr>
          <w:lang w:val="fr-CA"/>
        </w:rPr>
        <w:t> </w:t>
      </w:r>
      <w:r w:rsidR="00AC7C78" w:rsidRPr="00646003">
        <w:rPr>
          <w:lang w:val="fr-CA"/>
        </w:rPr>
        <w:t>:</w:t>
      </w:r>
    </w:p>
    <w:p w14:paraId="10B3750B" w14:textId="67AAEE15" w:rsidR="00AC7C78" w:rsidRPr="00646003" w:rsidRDefault="00280CA7" w:rsidP="003F66F0">
      <w:pPr>
        <w:pStyle w:val="ListRef"/>
        <w:numPr>
          <w:ilvl w:val="1"/>
          <w:numId w:val="70"/>
        </w:numPr>
        <w:rPr>
          <w:lang w:val="fr-CA"/>
        </w:rPr>
      </w:pPr>
      <w:proofErr w:type="gramStart"/>
      <w:r>
        <w:rPr>
          <w:lang w:val="fr-CA"/>
        </w:rPr>
        <w:t>transmet</w:t>
      </w:r>
      <w:r w:rsidR="002B5334">
        <w:rPr>
          <w:lang w:val="fr-CA"/>
        </w:rPr>
        <w:t>tre</w:t>
      </w:r>
      <w:proofErr w:type="gramEnd"/>
      <w:r w:rsidR="00AC7C78" w:rsidRPr="00646003">
        <w:rPr>
          <w:lang w:val="fr-CA"/>
        </w:rPr>
        <w:t xml:space="preserve"> le message en temps réel et en synchronisation avec le message;</w:t>
      </w:r>
    </w:p>
    <w:p w14:paraId="4F9DD42D" w14:textId="16015F77" w:rsidR="00AC7C78" w:rsidRPr="00646003" w:rsidRDefault="00885237" w:rsidP="003F66F0">
      <w:pPr>
        <w:pStyle w:val="ListRef"/>
        <w:numPr>
          <w:ilvl w:val="1"/>
          <w:numId w:val="70"/>
        </w:numPr>
        <w:rPr>
          <w:lang w:val="fr-CA"/>
        </w:rPr>
      </w:pPr>
      <w:proofErr w:type="gramStart"/>
      <w:r>
        <w:rPr>
          <w:lang w:val="fr-CA"/>
        </w:rPr>
        <w:t>transmettre</w:t>
      </w:r>
      <w:proofErr w:type="gramEnd"/>
      <w:r w:rsidR="00AC7C78" w:rsidRPr="00646003">
        <w:rPr>
          <w:lang w:val="fr-CA"/>
        </w:rPr>
        <w:t xml:space="preserve"> l</w:t>
      </w:r>
      <w:r w:rsidR="00175CDA">
        <w:rPr>
          <w:lang w:val="fr-CA"/>
        </w:rPr>
        <w:t>’</w:t>
      </w:r>
      <w:r w:rsidR="00AC7C78" w:rsidRPr="00646003">
        <w:rPr>
          <w:lang w:val="fr-CA"/>
        </w:rPr>
        <w:t xml:space="preserve">information par enregistrement audio numérique en appuyant sur un bouton, en activant un </w:t>
      </w:r>
      <w:r w:rsidR="0080141A">
        <w:rPr>
          <w:lang w:val="fr-CA"/>
        </w:rPr>
        <w:t>détecteur</w:t>
      </w:r>
      <w:r w:rsidR="00AC7C78" w:rsidRPr="00646003">
        <w:rPr>
          <w:lang w:val="fr-CA"/>
        </w:rPr>
        <w:t xml:space="preserve">, en </w:t>
      </w:r>
      <w:r w:rsidR="005A2761">
        <w:rPr>
          <w:lang w:val="fr-CA"/>
        </w:rPr>
        <w:t>balayant</w:t>
      </w:r>
      <w:r w:rsidR="00AC7C78" w:rsidRPr="00646003">
        <w:rPr>
          <w:lang w:val="fr-CA"/>
        </w:rPr>
        <w:t xml:space="preserve"> un code QR ou en prenant un combiné téléphonique;</w:t>
      </w:r>
    </w:p>
    <w:p w14:paraId="74E1B07D" w14:textId="4E99AA5F" w:rsidR="00AC7C78" w:rsidRPr="00646003" w:rsidRDefault="00AC7C78" w:rsidP="003F66F0">
      <w:pPr>
        <w:pStyle w:val="ListRef"/>
        <w:numPr>
          <w:ilvl w:val="1"/>
          <w:numId w:val="70"/>
        </w:numPr>
        <w:rPr>
          <w:lang w:val="fr-CA"/>
        </w:rPr>
      </w:pPr>
      <w:proofErr w:type="gramStart"/>
      <w:r w:rsidRPr="00646003">
        <w:rPr>
          <w:lang w:val="fr-CA"/>
        </w:rPr>
        <w:t>proposer</w:t>
      </w:r>
      <w:proofErr w:type="gramEnd"/>
      <w:r w:rsidRPr="00646003">
        <w:rPr>
          <w:lang w:val="fr-CA"/>
        </w:rPr>
        <w:t xml:space="preserve"> des alternatives acoustiques pour l</w:t>
      </w:r>
      <w:r w:rsidR="00175CDA">
        <w:rPr>
          <w:lang w:val="fr-CA"/>
        </w:rPr>
        <w:t>’</w:t>
      </w:r>
      <w:r w:rsidRPr="00646003">
        <w:rPr>
          <w:lang w:val="fr-CA"/>
        </w:rPr>
        <w:t>affichage de messages complexes;</w:t>
      </w:r>
    </w:p>
    <w:p w14:paraId="113CAC11" w14:textId="5E5CCE94" w:rsidR="00AC7C78" w:rsidRPr="00646003" w:rsidRDefault="00431E60" w:rsidP="003F66F0">
      <w:pPr>
        <w:pStyle w:val="ListRef"/>
        <w:numPr>
          <w:ilvl w:val="1"/>
          <w:numId w:val="70"/>
        </w:numPr>
        <w:rPr>
          <w:lang w:val="fr-CA"/>
        </w:rPr>
      </w:pPr>
      <w:proofErr w:type="gramStart"/>
      <w:r>
        <w:rPr>
          <w:lang w:val="fr-CA"/>
        </w:rPr>
        <w:t>l</w:t>
      </w:r>
      <w:r w:rsidR="00AC7C78" w:rsidRPr="00646003">
        <w:rPr>
          <w:lang w:val="fr-CA"/>
        </w:rPr>
        <w:t>orsqu</w:t>
      </w:r>
      <w:r w:rsidR="00175CDA">
        <w:rPr>
          <w:lang w:val="fr-CA"/>
        </w:rPr>
        <w:t>’</w:t>
      </w:r>
      <w:r w:rsidR="00AC7C78" w:rsidRPr="00646003">
        <w:rPr>
          <w:lang w:val="fr-CA"/>
        </w:rPr>
        <w:t>on</w:t>
      </w:r>
      <w:proofErr w:type="gramEnd"/>
      <w:r w:rsidR="00AC7C78" w:rsidRPr="00646003">
        <w:rPr>
          <w:lang w:val="fr-CA"/>
        </w:rPr>
        <w:t xml:space="preserve"> offre du contenu avec des sorties vers la vidéo et l</w:t>
      </w:r>
      <w:r w:rsidR="00175CDA">
        <w:rPr>
          <w:lang w:val="fr-CA"/>
        </w:rPr>
        <w:t>’</w:t>
      </w:r>
      <w:r w:rsidR="00AC7C78" w:rsidRPr="00646003">
        <w:rPr>
          <w:lang w:val="fr-CA"/>
        </w:rPr>
        <w:t>audio en temps réel</w:t>
      </w:r>
      <w:r w:rsidR="004A0CDA">
        <w:rPr>
          <w:lang w:val="fr-CA"/>
        </w:rPr>
        <w:t> </w:t>
      </w:r>
      <w:r w:rsidR="00AC7C78" w:rsidRPr="00646003">
        <w:rPr>
          <w:lang w:val="fr-CA"/>
        </w:rPr>
        <w:t>:</w:t>
      </w:r>
    </w:p>
    <w:p w14:paraId="5FA1B701" w14:textId="2576CFBC" w:rsidR="00AC7C78" w:rsidRPr="00646003" w:rsidRDefault="00AC7C78" w:rsidP="003F66F0">
      <w:pPr>
        <w:pStyle w:val="ListRef"/>
        <w:numPr>
          <w:ilvl w:val="2"/>
          <w:numId w:val="70"/>
        </w:numPr>
        <w:rPr>
          <w:lang w:val="fr-CA"/>
        </w:rPr>
      </w:pPr>
      <w:proofErr w:type="gramStart"/>
      <w:r w:rsidRPr="00646003">
        <w:rPr>
          <w:lang w:val="fr-CA"/>
        </w:rPr>
        <w:t>atteindre</w:t>
      </w:r>
      <w:proofErr w:type="gramEnd"/>
      <w:r w:rsidRPr="00646003">
        <w:rPr>
          <w:lang w:val="fr-CA"/>
        </w:rPr>
        <w:t xml:space="preserve"> la synchronisation des éléments vidéo et sonore en +/- 25</w:t>
      </w:r>
      <w:r w:rsidR="003B2C52">
        <w:rPr>
          <w:lang w:val="fr-CA"/>
        </w:rPr>
        <w:t> </w:t>
      </w:r>
      <w:r w:rsidRPr="00646003">
        <w:rPr>
          <w:lang w:val="fr-CA"/>
        </w:rPr>
        <w:t>millisecondes.</w:t>
      </w:r>
    </w:p>
    <w:p w14:paraId="59F68F5B" w14:textId="767F1215" w:rsidR="00AC7C78" w:rsidRPr="00646003" w:rsidRDefault="00AC7C78" w:rsidP="003F66F0">
      <w:pPr>
        <w:pStyle w:val="ListRef"/>
        <w:numPr>
          <w:ilvl w:val="2"/>
          <w:numId w:val="70"/>
        </w:numPr>
        <w:rPr>
          <w:lang w:val="fr-CA"/>
        </w:rPr>
      </w:pPr>
      <w:proofErr w:type="gramStart"/>
      <w:r w:rsidRPr="00646003">
        <w:rPr>
          <w:lang w:val="fr-CA"/>
        </w:rPr>
        <w:t>présenter</w:t>
      </w:r>
      <w:proofErr w:type="gramEnd"/>
      <w:r w:rsidRPr="00646003">
        <w:rPr>
          <w:lang w:val="fr-CA"/>
        </w:rPr>
        <w:t xml:space="preserve"> l</w:t>
      </w:r>
      <w:r w:rsidR="00175CDA">
        <w:rPr>
          <w:lang w:val="fr-CA"/>
        </w:rPr>
        <w:t>’</w:t>
      </w:r>
      <w:r w:rsidRPr="00646003">
        <w:rPr>
          <w:lang w:val="fr-CA"/>
        </w:rPr>
        <w:t>équivalent de la messagerie audio du contenu affiché pour synchroniser la sortie vocale.</w:t>
      </w:r>
    </w:p>
    <w:p w14:paraId="62E688C6" w14:textId="1C2D206C" w:rsidR="00AC7C78" w:rsidRPr="00646003" w:rsidRDefault="00AC7C78" w:rsidP="003F66F0">
      <w:pPr>
        <w:pStyle w:val="ListRef"/>
        <w:numPr>
          <w:ilvl w:val="1"/>
          <w:numId w:val="70"/>
        </w:numPr>
        <w:rPr>
          <w:lang w:val="fr-CA"/>
        </w:rPr>
      </w:pPr>
      <w:proofErr w:type="gramStart"/>
      <w:r w:rsidRPr="00646003">
        <w:rPr>
          <w:lang w:val="fr-CA"/>
        </w:rPr>
        <w:t>répondre</w:t>
      </w:r>
      <w:proofErr w:type="gramEnd"/>
      <w:r w:rsidRPr="00646003">
        <w:rPr>
          <w:lang w:val="fr-CA"/>
        </w:rPr>
        <w:t xml:space="preserve"> aux exigences d</w:t>
      </w:r>
      <w:r w:rsidR="00175CDA">
        <w:rPr>
          <w:lang w:val="fr-CA"/>
        </w:rPr>
        <w:t>’</w:t>
      </w:r>
      <w:r w:rsidRPr="00646003">
        <w:rPr>
          <w:lang w:val="fr-CA"/>
        </w:rPr>
        <w:t>amplification des</w:t>
      </w:r>
      <w:r w:rsidR="00431E60">
        <w:rPr>
          <w:lang w:val="fr-CA"/>
        </w:rPr>
        <w:t xml:space="preserve"> articles</w:t>
      </w:r>
      <w:r w:rsidRPr="00646003">
        <w:rPr>
          <w:lang w:val="fr-CA"/>
        </w:rPr>
        <w:t xml:space="preserve"> </w:t>
      </w:r>
      <w:r w:rsidR="00821C54">
        <w:fldChar w:fldCharType="begin"/>
      </w:r>
      <w:r w:rsidR="00821C54" w:rsidRPr="007C0FBA">
        <w:rPr>
          <w:lang w:val="fr-CA"/>
        </w:rPr>
        <w:instrText>HYPERLINK \l "_Usage_of_audible"</w:instrText>
      </w:r>
      <w:r w:rsidR="00821C54">
        <w:fldChar w:fldCharType="separate"/>
      </w:r>
      <w:r w:rsidR="00821C54" w:rsidRPr="00646003">
        <w:rPr>
          <w:rStyle w:val="Hyperlink"/>
          <w:lang w:val="fr-CA"/>
        </w:rPr>
        <w:t>1</w:t>
      </w:r>
      <w:r w:rsidR="007238A7">
        <w:rPr>
          <w:rStyle w:val="Hyperlink"/>
          <w:lang w:val="fr-CA"/>
        </w:rPr>
        <w:t>2</w:t>
      </w:r>
      <w:r w:rsidR="00821C54" w:rsidRPr="00646003">
        <w:rPr>
          <w:rStyle w:val="Hyperlink"/>
          <w:lang w:val="fr-CA"/>
        </w:rPr>
        <w:t>.10.2</w:t>
      </w:r>
      <w:r w:rsidR="00821C54">
        <w:fldChar w:fldCharType="end"/>
      </w:r>
      <w:r w:rsidRPr="00646003">
        <w:rPr>
          <w:lang w:val="fr-CA"/>
        </w:rPr>
        <w:t xml:space="preserve"> et </w:t>
      </w:r>
      <w:r w:rsidR="00821C54">
        <w:fldChar w:fldCharType="begin"/>
      </w:r>
      <w:r w:rsidR="00821C54" w:rsidRPr="007C0FBA">
        <w:rPr>
          <w:lang w:val="fr-CA"/>
        </w:rPr>
        <w:instrText>HYPERLINK \l "_Audible_signage_performance"</w:instrText>
      </w:r>
      <w:r w:rsidR="00821C54">
        <w:fldChar w:fldCharType="separate"/>
      </w:r>
      <w:r w:rsidR="00821C54" w:rsidRPr="00646003">
        <w:rPr>
          <w:rStyle w:val="Hyperlink"/>
          <w:lang w:val="fr-CA"/>
        </w:rPr>
        <w:t>1</w:t>
      </w:r>
      <w:r w:rsidR="007238A7">
        <w:rPr>
          <w:rStyle w:val="Hyperlink"/>
          <w:lang w:val="fr-CA"/>
        </w:rPr>
        <w:t>2</w:t>
      </w:r>
      <w:r w:rsidR="00821C54" w:rsidRPr="00646003">
        <w:rPr>
          <w:rStyle w:val="Hyperlink"/>
          <w:lang w:val="fr-CA"/>
        </w:rPr>
        <w:t>.10.3</w:t>
      </w:r>
      <w:r w:rsidR="00821C54">
        <w:fldChar w:fldCharType="end"/>
      </w:r>
      <w:r w:rsidRPr="00646003">
        <w:rPr>
          <w:lang w:val="fr-CA"/>
        </w:rPr>
        <w:t xml:space="preserve"> afin de la rendre perceptible au-dessus des niveaux de bruit environnemental </w:t>
      </w:r>
      <w:r w:rsidR="007B2F6B">
        <w:rPr>
          <w:lang w:val="fr-CA"/>
        </w:rPr>
        <w:t xml:space="preserve">qui </w:t>
      </w:r>
      <w:r w:rsidRPr="00646003">
        <w:rPr>
          <w:lang w:val="fr-CA"/>
        </w:rPr>
        <w:t>exist</w:t>
      </w:r>
      <w:r w:rsidR="007B2F6B">
        <w:rPr>
          <w:lang w:val="fr-CA"/>
        </w:rPr>
        <w:t>ent</w:t>
      </w:r>
      <w:r w:rsidRPr="00646003">
        <w:rPr>
          <w:lang w:val="fr-CA"/>
        </w:rPr>
        <w:t xml:space="preserve"> </w:t>
      </w:r>
      <w:proofErr w:type="gramStart"/>
      <w:r w:rsidRPr="00646003">
        <w:rPr>
          <w:lang w:val="fr-CA"/>
        </w:rPr>
        <w:t>ou</w:t>
      </w:r>
      <w:proofErr w:type="gramEnd"/>
      <w:r w:rsidRPr="00646003">
        <w:rPr>
          <w:lang w:val="fr-CA"/>
        </w:rPr>
        <w:t xml:space="preserve"> </w:t>
      </w:r>
      <w:r w:rsidR="00500768">
        <w:rPr>
          <w:lang w:val="fr-CA"/>
        </w:rPr>
        <w:t>se produisent</w:t>
      </w:r>
      <w:r w:rsidRPr="00646003">
        <w:rPr>
          <w:lang w:val="fr-CA"/>
        </w:rPr>
        <w:t>;</w:t>
      </w:r>
    </w:p>
    <w:p w14:paraId="4119F14A" w14:textId="60C2A18A" w:rsidR="00AC7C78" w:rsidRPr="00646003" w:rsidRDefault="00AC7C78" w:rsidP="003F66F0">
      <w:pPr>
        <w:pStyle w:val="ListRef"/>
        <w:numPr>
          <w:ilvl w:val="0"/>
          <w:numId w:val="70"/>
        </w:numPr>
        <w:rPr>
          <w:lang w:val="fr-CA"/>
        </w:rPr>
      </w:pPr>
      <w:proofErr w:type="gramStart"/>
      <w:r w:rsidRPr="00646003">
        <w:rPr>
          <w:lang w:val="fr-CA"/>
        </w:rPr>
        <w:t>s</w:t>
      </w:r>
      <w:r w:rsidR="00175CDA">
        <w:rPr>
          <w:lang w:val="fr-CA"/>
        </w:rPr>
        <w:t>’</w:t>
      </w:r>
      <w:r w:rsidRPr="00646003">
        <w:rPr>
          <w:lang w:val="fr-CA"/>
        </w:rPr>
        <w:t>assurer</w:t>
      </w:r>
      <w:proofErr w:type="gramEnd"/>
      <w:r w:rsidRPr="00646003">
        <w:rPr>
          <w:lang w:val="fr-CA"/>
        </w:rPr>
        <w:t xml:space="preserve"> que lorsque la signalisation numérique présente simultanément des dialogues parlés et </w:t>
      </w:r>
      <w:r w:rsidR="002A30AA">
        <w:rPr>
          <w:lang w:val="fr-CA"/>
        </w:rPr>
        <w:t xml:space="preserve">de </w:t>
      </w:r>
      <w:r w:rsidR="003622DD">
        <w:rPr>
          <w:lang w:val="fr-CA"/>
        </w:rPr>
        <w:t>conception</w:t>
      </w:r>
      <w:r w:rsidRPr="00646003">
        <w:rPr>
          <w:lang w:val="fr-CA"/>
        </w:rPr>
        <w:t xml:space="preserve"> sonore</w:t>
      </w:r>
      <w:r w:rsidR="002A30AA">
        <w:rPr>
          <w:lang w:val="fr-CA"/>
        </w:rPr>
        <w:t xml:space="preserve"> </w:t>
      </w:r>
      <w:r w:rsidRPr="00646003">
        <w:rPr>
          <w:lang w:val="fr-CA"/>
        </w:rPr>
        <w:t xml:space="preserve">comme la musique, la </w:t>
      </w:r>
      <w:r w:rsidR="00D454B2">
        <w:rPr>
          <w:lang w:val="fr-CA"/>
        </w:rPr>
        <w:t xml:space="preserve">bande </w:t>
      </w:r>
      <w:r w:rsidR="001F610F">
        <w:rPr>
          <w:lang w:val="fr-CA"/>
        </w:rPr>
        <w:t>sonore</w:t>
      </w:r>
      <w:r w:rsidRPr="00646003">
        <w:rPr>
          <w:lang w:val="fr-CA"/>
        </w:rPr>
        <w:t xml:space="preserve"> accompagnante soit abaissée de -10 à -20</w:t>
      </w:r>
      <w:r w:rsidR="003B2C52">
        <w:rPr>
          <w:lang w:val="fr-CA"/>
        </w:rPr>
        <w:t> </w:t>
      </w:r>
      <w:r w:rsidRPr="00646003">
        <w:rPr>
          <w:lang w:val="fr-CA"/>
        </w:rPr>
        <w:t>dB SPL afin d</w:t>
      </w:r>
      <w:r w:rsidR="00175CDA">
        <w:rPr>
          <w:lang w:val="fr-CA"/>
        </w:rPr>
        <w:t>’</w:t>
      </w:r>
      <w:r w:rsidRPr="00646003">
        <w:rPr>
          <w:lang w:val="fr-CA"/>
        </w:rPr>
        <w:t>éviter les barrières à la perception des messages;</w:t>
      </w:r>
    </w:p>
    <w:p w14:paraId="1B4A8A2A" w14:textId="1DE7F8B9" w:rsidR="00AC7C78" w:rsidRPr="00646003" w:rsidRDefault="00AC7C78" w:rsidP="003F66F0">
      <w:pPr>
        <w:pStyle w:val="ListRef"/>
        <w:numPr>
          <w:ilvl w:val="0"/>
          <w:numId w:val="70"/>
        </w:numPr>
        <w:rPr>
          <w:lang w:val="fr-CA"/>
        </w:rPr>
      </w:pPr>
      <w:proofErr w:type="gramStart"/>
      <w:r w:rsidRPr="00646003">
        <w:rPr>
          <w:lang w:val="fr-CA"/>
        </w:rPr>
        <w:t>ne</w:t>
      </w:r>
      <w:proofErr w:type="gramEnd"/>
      <w:r w:rsidRPr="00646003">
        <w:rPr>
          <w:lang w:val="fr-CA"/>
        </w:rPr>
        <w:t xml:space="preserve"> pas utiliser l</w:t>
      </w:r>
      <w:r w:rsidR="00175CDA">
        <w:rPr>
          <w:lang w:val="fr-CA"/>
        </w:rPr>
        <w:t>’</w:t>
      </w:r>
      <w:r w:rsidRPr="00646003">
        <w:rPr>
          <w:lang w:val="fr-CA"/>
        </w:rPr>
        <w:t>acoustique comme équivalent pour le contenu relayé affiché; et</w:t>
      </w:r>
    </w:p>
    <w:p w14:paraId="15A31E6A" w14:textId="6F81DA45" w:rsidR="00AC7C78" w:rsidRPr="00646003" w:rsidRDefault="00F21F15" w:rsidP="003F66F0">
      <w:pPr>
        <w:pStyle w:val="ListRef"/>
        <w:numPr>
          <w:ilvl w:val="0"/>
          <w:numId w:val="70"/>
        </w:numPr>
        <w:rPr>
          <w:lang w:val="fr-CA"/>
        </w:rPr>
      </w:pPr>
      <w:proofErr w:type="gramStart"/>
      <w:r>
        <w:rPr>
          <w:lang w:val="fr-CA"/>
        </w:rPr>
        <w:lastRenderedPageBreak/>
        <w:t>n</w:t>
      </w:r>
      <w:r w:rsidR="00AC7C78" w:rsidRPr="00646003">
        <w:rPr>
          <w:lang w:val="fr-CA"/>
        </w:rPr>
        <w:t>e</w:t>
      </w:r>
      <w:proofErr w:type="gramEnd"/>
      <w:r w:rsidR="00AC7C78" w:rsidRPr="00646003">
        <w:rPr>
          <w:lang w:val="fr-CA"/>
        </w:rPr>
        <w:t xml:space="preserve"> pas utiliser d</w:t>
      </w:r>
      <w:r w:rsidR="00175CDA">
        <w:rPr>
          <w:lang w:val="fr-CA"/>
        </w:rPr>
        <w:t>’</w:t>
      </w:r>
      <w:r w:rsidR="00AC7C78" w:rsidRPr="00646003">
        <w:rPr>
          <w:lang w:val="fr-CA"/>
        </w:rPr>
        <w:t>effets sonores pour accentuer le message.</w:t>
      </w:r>
    </w:p>
    <w:p w14:paraId="15C64091" w14:textId="7B256393" w:rsidR="009A587D" w:rsidRPr="00646003" w:rsidRDefault="003C7143" w:rsidP="00AC7C78">
      <w:pPr>
        <w:rPr>
          <w:lang w:val="fr-CA"/>
        </w:rPr>
      </w:pPr>
      <w:r>
        <w:rPr>
          <w:rStyle w:val="EmphasisUseSparingly"/>
          <w:lang w:val="fr-CA"/>
        </w:rPr>
        <w:t>Remarque</w:t>
      </w:r>
      <w:r w:rsidR="004A0CDA">
        <w:rPr>
          <w:rStyle w:val="EmphasisUseSparingly"/>
          <w:lang w:val="fr-CA"/>
        </w:rPr>
        <w:t> </w:t>
      </w:r>
      <w:r w:rsidR="00AC7C78" w:rsidRPr="00646003">
        <w:rPr>
          <w:rStyle w:val="EmphasisUseSparingly"/>
          <w:lang w:val="fr-CA"/>
        </w:rPr>
        <w:t xml:space="preserve">: </w:t>
      </w:r>
      <w:r w:rsidR="0009540E">
        <w:rPr>
          <w:lang w:val="fr-CA"/>
        </w:rPr>
        <w:t xml:space="preserve">Une </w:t>
      </w:r>
      <w:r w:rsidR="00E042D4">
        <w:rPr>
          <w:lang w:val="fr-CA"/>
        </w:rPr>
        <w:t xml:space="preserve">bonne </w:t>
      </w:r>
      <w:r w:rsidR="0009540E">
        <w:rPr>
          <w:lang w:val="fr-CA"/>
        </w:rPr>
        <w:t>pratique est de f</w:t>
      </w:r>
      <w:r w:rsidR="00AC7C78" w:rsidRPr="00646003">
        <w:rPr>
          <w:lang w:val="fr-CA"/>
        </w:rPr>
        <w:t xml:space="preserve">ournir un timbre et </w:t>
      </w:r>
      <w:r w:rsidR="00B056DD" w:rsidRPr="00646003">
        <w:rPr>
          <w:lang w:val="fr-CA"/>
        </w:rPr>
        <w:t>une tonalité compatible</w:t>
      </w:r>
      <w:r w:rsidR="00AC7C78" w:rsidRPr="00646003">
        <w:rPr>
          <w:lang w:val="fr-CA"/>
        </w:rPr>
        <w:t xml:space="preserve"> avec tous les</w:t>
      </w:r>
      <w:r w:rsidR="00B056DD">
        <w:rPr>
          <w:lang w:val="fr-CA"/>
        </w:rPr>
        <w:t xml:space="preserve"> démographiques</w:t>
      </w:r>
      <w:r w:rsidR="00AC7C78" w:rsidRPr="00646003">
        <w:rPr>
          <w:lang w:val="fr-CA"/>
        </w:rPr>
        <w:t xml:space="preserve"> d</w:t>
      </w:r>
      <w:r w:rsidR="00175CDA">
        <w:rPr>
          <w:lang w:val="fr-CA"/>
        </w:rPr>
        <w:t>’</w:t>
      </w:r>
      <w:r w:rsidR="00AC7C78" w:rsidRPr="00646003">
        <w:rPr>
          <w:lang w:val="fr-CA"/>
        </w:rPr>
        <w:t>âge e</w:t>
      </w:r>
      <w:r w:rsidR="008C5712">
        <w:rPr>
          <w:lang w:val="fr-CA"/>
        </w:rPr>
        <w:t>n</w:t>
      </w:r>
      <w:r w:rsidR="00AC7C78" w:rsidRPr="00646003">
        <w:rPr>
          <w:lang w:val="fr-CA"/>
        </w:rPr>
        <w:t xml:space="preserve"> tenant compte de l</w:t>
      </w:r>
      <w:r w:rsidR="00175CDA">
        <w:rPr>
          <w:lang w:val="fr-CA"/>
        </w:rPr>
        <w:t>’</w:t>
      </w:r>
      <w:r w:rsidR="00AC7C78" w:rsidRPr="00646003">
        <w:rPr>
          <w:lang w:val="fr-CA"/>
        </w:rPr>
        <w:t>impact de la perte auditive.</w:t>
      </w:r>
    </w:p>
    <w:p w14:paraId="2B625D3F" w14:textId="77777777" w:rsidR="00731C44" w:rsidRPr="00646003" w:rsidRDefault="00731C44">
      <w:pPr>
        <w:keepLines w:val="0"/>
        <w:spacing w:before="0" w:beforeAutospacing="0" w:line="259" w:lineRule="auto"/>
        <w:rPr>
          <w:rFonts w:eastAsiaTheme="majorEastAsia" w:cstheme="majorBidi"/>
          <w:b/>
          <w:sz w:val="56"/>
          <w:szCs w:val="32"/>
          <w:lang w:val="fr-CA"/>
        </w:rPr>
      </w:pPr>
      <w:r w:rsidRPr="00646003">
        <w:rPr>
          <w:lang w:val="fr-CA"/>
        </w:rPr>
        <w:br w:type="page"/>
      </w:r>
    </w:p>
    <w:p w14:paraId="45533606" w14:textId="23B9D663" w:rsidR="00106F60" w:rsidRDefault="004404D2" w:rsidP="00D13BA9">
      <w:pPr>
        <w:pStyle w:val="Heading1"/>
      </w:pPr>
      <w:bookmarkStart w:id="676" w:name="_Toc219706253"/>
      <w:r>
        <w:lastRenderedPageBreak/>
        <w:t>Cartes (non tactiles)</w:t>
      </w:r>
      <w:bookmarkEnd w:id="676"/>
    </w:p>
    <w:p w14:paraId="719ACDFD" w14:textId="4BF775D4" w:rsidR="00D13BA9" w:rsidRDefault="00D13BA9" w:rsidP="00D13BA9">
      <w:pPr>
        <w:pStyle w:val="Heading2"/>
      </w:pPr>
      <w:bookmarkStart w:id="677" w:name="_Toc219706254"/>
      <w:proofErr w:type="spellStart"/>
      <w:r>
        <w:t>Général</w:t>
      </w:r>
      <w:bookmarkEnd w:id="677"/>
      <w:proofErr w:type="spellEnd"/>
    </w:p>
    <w:p w14:paraId="12CE521A" w14:textId="25E710C6" w:rsidR="004404D2" w:rsidRPr="00B77786" w:rsidRDefault="004404D2" w:rsidP="004404D2">
      <w:pPr>
        <w:rPr>
          <w:lang w:val="fr-CA"/>
        </w:rPr>
      </w:pPr>
      <w:r w:rsidRPr="00B77786">
        <w:rPr>
          <w:lang w:val="fr-CA"/>
        </w:rPr>
        <w:t>Les cartes jouent un rôle c</w:t>
      </w:r>
      <w:r w:rsidR="00140860">
        <w:rPr>
          <w:lang w:val="fr-CA"/>
        </w:rPr>
        <w:t>entral</w:t>
      </w:r>
      <w:r w:rsidRPr="00B77786">
        <w:rPr>
          <w:lang w:val="fr-CA"/>
        </w:rPr>
        <w:t xml:space="preserve"> dans l</w:t>
      </w:r>
      <w:r w:rsidR="00175CDA">
        <w:rPr>
          <w:lang w:val="fr-CA"/>
        </w:rPr>
        <w:t>’</w:t>
      </w:r>
      <w:r w:rsidRPr="00B77786">
        <w:rPr>
          <w:lang w:val="fr-CA"/>
        </w:rPr>
        <w:t xml:space="preserve">orientation accessible et la signalisation, </w:t>
      </w:r>
      <w:r w:rsidR="0088204B">
        <w:rPr>
          <w:lang w:val="fr-CA"/>
        </w:rPr>
        <w:t>surtout</w:t>
      </w:r>
      <w:r w:rsidRPr="00B77786">
        <w:rPr>
          <w:lang w:val="fr-CA"/>
        </w:rPr>
        <w:t xml:space="preserve"> pour comprendre et naviguer dans des environnements complexes. Une grande variété de types de cartes, y compris les plans de localisation, les cartes guides et les cartes de navigation imprimé</w:t>
      </w:r>
      <w:r w:rsidR="00804DFB">
        <w:rPr>
          <w:lang w:val="fr-CA"/>
        </w:rPr>
        <w:t>e</w:t>
      </w:r>
      <w:r w:rsidRPr="00B77786">
        <w:rPr>
          <w:lang w:val="fr-CA"/>
        </w:rPr>
        <w:t>s et numériques, ont des objectifs distincts et peuvent nécessiter des normes de conception différentes ou supplémentaires.</w:t>
      </w:r>
    </w:p>
    <w:p w14:paraId="3EB9013E" w14:textId="7031BF8C" w:rsidR="00D13BA9" w:rsidRPr="00B77786" w:rsidRDefault="004404D2" w:rsidP="004404D2">
      <w:pPr>
        <w:rPr>
          <w:lang w:val="fr-CA"/>
        </w:rPr>
      </w:pPr>
      <w:r w:rsidRPr="00B77786">
        <w:rPr>
          <w:lang w:val="fr-CA"/>
        </w:rPr>
        <w:t>Dans les espaces extérieurs, les annuaires et</w:t>
      </w:r>
      <w:r w:rsidR="00544755">
        <w:rPr>
          <w:lang w:val="fr-CA"/>
        </w:rPr>
        <w:t xml:space="preserve"> kiosques</w:t>
      </w:r>
      <w:r w:rsidRPr="00B77786">
        <w:rPr>
          <w:lang w:val="fr-CA"/>
        </w:rPr>
        <w:t xml:space="preserve"> d</w:t>
      </w:r>
      <w:r w:rsidR="00175CDA">
        <w:rPr>
          <w:lang w:val="fr-CA"/>
        </w:rPr>
        <w:t>’</w:t>
      </w:r>
      <w:r w:rsidRPr="00B77786">
        <w:rPr>
          <w:lang w:val="fr-CA"/>
        </w:rPr>
        <w:t>orientation devraient indiquer l</w:t>
      </w:r>
      <w:r w:rsidR="00175CDA">
        <w:rPr>
          <w:lang w:val="fr-CA"/>
        </w:rPr>
        <w:t>’</w:t>
      </w:r>
      <w:r w:rsidRPr="00B77786">
        <w:rPr>
          <w:lang w:val="fr-CA"/>
        </w:rPr>
        <w:t>emplacement actuel (c.-à-d. « Vous êtes ici »), des détails pour aider à l</w:t>
      </w:r>
      <w:r w:rsidR="00175CDA">
        <w:rPr>
          <w:lang w:val="fr-CA"/>
        </w:rPr>
        <w:t>’</w:t>
      </w:r>
      <w:r w:rsidRPr="00B77786">
        <w:rPr>
          <w:lang w:val="fr-CA"/>
        </w:rPr>
        <w:t>orientation (</w:t>
      </w:r>
      <w:r w:rsidR="00544755">
        <w:rPr>
          <w:lang w:val="fr-CA"/>
        </w:rPr>
        <w:t>p.</w:t>
      </w:r>
      <w:r w:rsidR="00B91DB2">
        <w:rPr>
          <w:lang w:val="fr-CA"/>
        </w:rPr>
        <w:t xml:space="preserve"> </w:t>
      </w:r>
      <w:r w:rsidR="00544755">
        <w:rPr>
          <w:lang w:val="fr-CA"/>
        </w:rPr>
        <w:t>ex.,</w:t>
      </w:r>
      <w:r w:rsidRPr="00B77786">
        <w:rPr>
          <w:lang w:val="fr-CA"/>
        </w:rPr>
        <w:t xml:space="preserve"> </w:t>
      </w:r>
      <w:r w:rsidR="00C443E1">
        <w:rPr>
          <w:lang w:val="fr-CA"/>
        </w:rPr>
        <w:t>une flèche nord</w:t>
      </w:r>
      <w:r w:rsidRPr="00B77786">
        <w:rPr>
          <w:lang w:val="fr-CA"/>
        </w:rPr>
        <w:t xml:space="preserve">, </w:t>
      </w:r>
      <w:r w:rsidR="00C443E1">
        <w:rPr>
          <w:lang w:val="fr-CA"/>
        </w:rPr>
        <w:t xml:space="preserve">des </w:t>
      </w:r>
      <w:r w:rsidRPr="00B77786">
        <w:rPr>
          <w:lang w:val="fr-CA"/>
        </w:rPr>
        <w:t xml:space="preserve">points de repère, </w:t>
      </w:r>
      <w:r w:rsidR="00C443E1">
        <w:rPr>
          <w:lang w:val="fr-CA"/>
        </w:rPr>
        <w:t xml:space="preserve">des </w:t>
      </w:r>
      <w:r w:rsidRPr="00B77786">
        <w:rPr>
          <w:lang w:val="fr-CA"/>
        </w:rPr>
        <w:t>bâtiments), les distances et les conditions d</w:t>
      </w:r>
      <w:r w:rsidR="00175CDA">
        <w:rPr>
          <w:lang w:val="fr-CA"/>
        </w:rPr>
        <w:t>’</w:t>
      </w:r>
      <w:r w:rsidRPr="00B77786">
        <w:rPr>
          <w:lang w:val="fr-CA"/>
        </w:rPr>
        <w:t xml:space="preserve">accessibilité (c.-à-d. </w:t>
      </w:r>
      <w:r w:rsidR="00C443E1">
        <w:rPr>
          <w:lang w:val="fr-CA"/>
        </w:rPr>
        <w:t xml:space="preserve">la </w:t>
      </w:r>
      <w:r w:rsidRPr="00B77786">
        <w:rPr>
          <w:lang w:val="fr-CA"/>
        </w:rPr>
        <w:t xml:space="preserve">pente, </w:t>
      </w:r>
      <w:r w:rsidR="00494572">
        <w:rPr>
          <w:lang w:val="fr-CA"/>
        </w:rPr>
        <w:t xml:space="preserve">les </w:t>
      </w:r>
      <w:r w:rsidRPr="00B77786">
        <w:rPr>
          <w:lang w:val="fr-CA"/>
        </w:rPr>
        <w:t xml:space="preserve">conditions de surface, </w:t>
      </w:r>
      <w:r w:rsidR="00494572">
        <w:rPr>
          <w:lang w:val="fr-CA"/>
        </w:rPr>
        <w:t xml:space="preserve">les </w:t>
      </w:r>
      <w:r w:rsidRPr="00B77786">
        <w:rPr>
          <w:lang w:val="fr-CA"/>
        </w:rPr>
        <w:t xml:space="preserve">largeurs, </w:t>
      </w:r>
      <w:r w:rsidR="00494572">
        <w:rPr>
          <w:lang w:val="fr-CA"/>
        </w:rPr>
        <w:t xml:space="preserve">les </w:t>
      </w:r>
      <w:r w:rsidRPr="00B77786">
        <w:rPr>
          <w:lang w:val="fr-CA"/>
        </w:rPr>
        <w:t xml:space="preserve">obstacles et </w:t>
      </w:r>
      <w:r w:rsidR="00494572">
        <w:rPr>
          <w:lang w:val="fr-CA"/>
        </w:rPr>
        <w:t xml:space="preserve">les </w:t>
      </w:r>
      <w:r w:rsidRPr="00B77786">
        <w:rPr>
          <w:lang w:val="fr-CA"/>
        </w:rPr>
        <w:t>dangers).</w:t>
      </w:r>
    </w:p>
    <w:p w14:paraId="643A7B92" w14:textId="727B26C8" w:rsidR="00D13ABE" w:rsidRDefault="00D55ED5" w:rsidP="00D55ED5">
      <w:pPr>
        <w:pStyle w:val="Heading2"/>
      </w:pPr>
      <w:bookmarkStart w:id="678" w:name="_Toc219706255"/>
      <w:proofErr w:type="spellStart"/>
      <w:r>
        <w:t>Informations</w:t>
      </w:r>
      <w:proofErr w:type="spellEnd"/>
      <w:r>
        <w:t xml:space="preserve"> </w:t>
      </w:r>
      <w:proofErr w:type="spellStart"/>
      <w:r>
        <w:t>affichées</w:t>
      </w:r>
      <w:bookmarkEnd w:id="678"/>
      <w:proofErr w:type="spellEnd"/>
    </w:p>
    <w:p w14:paraId="1CF96C93" w14:textId="7F87BE27" w:rsidR="00D55ED5" w:rsidRPr="00B77786" w:rsidRDefault="00D55ED5" w:rsidP="00D55ED5">
      <w:pPr>
        <w:rPr>
          <w:lang w:val="fr-CA"/>
        </w:rPr>
      </w:pPr>
      <w:r w:rsidRPr="00B77786">
        <w:rPr>
          <w:lang w:val="fr-CA"/>
        </w:rPr>
        <w:t xml:space="preserve">Les informations affichées seront basées sur une étude et une compréhension des besoins des utilisateurs, y compris leur localisation, leur compétence linguistique et les exigences spécifiques </w:t>
      </w:r>
      <w:r w:rsidR="008E36E2" w:rsidRPr="00B77786">
        <w:rPr>
          <w:lang w:val="fr-CA"/>
        </w:rPr>
        <w:t>d</w:t>
      </w:r>
      <w:r w:rsidR="008E36E2">
        <w:rPr>
          <w:lang w:val="fr-CA"/>
        </w:rPr>
        <w:t>e la voie</w:t>
      </w:r>
      <w:r w:rsidRPr="00B77786">
        <w:rPr>
          <w:lang w:val="fr-CA"/>
        </w:rPr>
        <w:t>.</w:t>
      </w:r>
    </w:p>
    <w:p w14:paraId="016A2255" w14:textId="68FA4256" w:rsidR="00D55ED5" w:rsidRDefault="006B5BA9" w:rsidP="006B5BA9">
      <w:pPr>
        <w:pStyle w:val="Heading2"/>
      </w:pPr>
      <w:bookmarkStart w:id="679" w:name="_Toc219706256"/>
      <w:r>
        <w:t>Conception</w:t>
      </w:r>
      <w:bookmarkEnd w:id="679"/>
    </w:p>
    <w:p w14:paraId="36471311" w14:textId="5AC6CEA5" w:rsidR="006B5BA9" w:rsidRPr="008E36E2" w:rsidRDefault="006B5BA9" w:rsidP="006B5BA9">
      <w:pPr>
        <w:rPr>
          <w:lang w:val="fr-CA"/>
        </w:rPr>
      </w:pPr>
      <w:r w:rsidRPr="008E36E2">
        <w:rPr>
          <w:lang w:val="fr-CA"/>
        </w:rPr>
        <w:t>La conception et la lisibilité des cartes doivent</w:t>
      </w:r>
      <w:r w:rsidR="004A0CDA">
        <w:rPr>
          <w:lang w:val="fr-CA"/>
        </w:rPr>
        <w:t> </w:t>
      </w:r>
      <w:r w:rsidRPr="008E36E2">
        <w:rPr>
          <w:lang w:val="fr-CA"/>
        </w:rPr>
        <w:t>:</w:t>
      </w:r>
    </w:p>
    <w:p w14:paraId="5FB35448" w14:textId="722CF4FA" w:rsidR="006B5BA9" w:rsidRPr="008E36E2" w:rsidRDefault="008E36E2" w:rsidP="003F66F0">
      <w:pPr>
        <w:pStyle w:val="ListRef"/>
        <w:numPr>
          <w:ilvl w:val="0"/>
          <w:numId w:val="71"/>
        </w:numPr>
        <w:rPr>
          <w:lang w:val="fr-CA"/>
        </w:rPr>
      </w:pPr>
      <w:proofErr w:type="gramStart"/>
      <w:r>
        <w:rPr>
          <w:lang w:val="fr-CA"/>
        </w:rPr>
        <w:t>u</w:t>
      </w:r>
      <w:r w:rsidR="006B5BA9" w:rsidRPr="008E36E2">
        <w:rPr>
          <w:lang w:val="fr-CA"/>
        </w:rPr>
        <w:t>tilise</w:t>
      </w:r>
      <w:r>
        <w:rPr>
          <w:lang w:val="fr-CA"/>
        </w:rPr>
        <w:t>r</w:t>
      </w:r>
      <w:proofErr w:type="gramEnd"/>
      <w:r w:rsidR="006B5BA9" w:rsidRPr="008E36E2">
        <w:rPr>
          <w:lang w:val="fr-CA"/>
        </w:rPr>
        <w:t xml:space="preserve"> des éléments de </w:t>
      </w:r>
      <w:r>
        <w:rPr>
          <w:lang w:val="fr-CA"/>
        </w:rPr>
        <w:t>conception</w:t>
      </w:r>
      <w:r w:rsidR="006B5BA9" w:rsidRPr="008E36E2">
        <w:rPr>
          <w:lang w:val="fr-CA"/>
        </w:rPr>
        <w:t xml:space="preserve"> cartographique pour améliorer la clarté et l</w:t>
      </w:r>
      <w:r w:rsidR="00175CDA">
        <w:rPr>
          <w:lang w:val="fr-CA"/>
        </w:rPr>
        <w:t>’</w:t>
      </w:r>
      <w:r w:rsidR="006B5BA9" w:rsidRPr="008E36E2">
        <w:rPr>
          <w:lang w:val="fr-CA"/>
        </w:rPr>
        <w:t>utilisabilité, comme le titre/sous-titre, les lignes nettes, la légende et les indicateurs d</w:t>
      </w:r>
      <w:r w:rsidR="00175CDA">
        <w:rPr>
          <w:lang w:val="fr-CA"/>
        </w:rPr>
        <w:t>’</w:t>
      </w:r>
      <w:r w:rsidR="006B5BA9" w:rsidRPr="008E36E2">
        <w:rPr>
          <w:lang w:val="fr-CA"/>
        </w:rPr>
        <w:t>orientation lorsque c</w:t>
      </w:r>
      <w:r w:rsidR="00175CDA">
        <w:rPr>
          <w:lang w:val="fr-CA"/>
        </w:rPr>
        <w:t>’</w:t>
      </w:r>
      <w:r w:rsidR="006B5BA9" w:rsidRPr="008E36E2">
        <w:rPr>
          <w:lang w:val="fr-CA"/>
        </w:rPr>
        <w:t>est approprié;</w:t>
      </w:r>
    </w:p>
    <w:p w14:paraId="7DB53794" w14:textId="2C3DB6E1" w:rsidR="006B5BA9" w:rsidRPr="008E36E2" w:rsidRDefault="006B5BA9" w:rsidP="003F66F0">
      <w:pPr>
        <w:pStyle w:val="ListRef"/>
        <w:numPr>
          <w:ilvl w:val="0"/>
          <w:numId w:val="71"/>
        </w:numPr>
        <w:rPr>
          <w:lang w:val="fr-CA"/>
        </w:rPr>
      </w:pPr>
      <w:proofErr w:type="gramStart"/>
      <w:r w:rsidRPr="008E36E2">
        <w:rPr>
          <w:lang w:val="fr-CA"/>
        </w:rPr>
        <w:t>communiquer</w:t>
      </w:r>
      <w:proofErr w:type="gramEnd"/>
      <w:r w:rsidRPr="008E36E2">
        <w:rPr>
          <w:lang w:val="fr-CA"/>
        </w:rPr>
        <w:t xml:space="preserve"> clairement le(s) thème(s) clé</w:t>
      </w:r>
      <w:r w:rsidR="00B91DB2">
        <w:rPr>
          <w:lang w:val="fr-CA"/>
        </w:rPr>
        <w:t>s</w:t>
      </w:r>
      <w:r w:rsidRPr="008E36E2">
        <w:rPr>
          <w:lang w:val="fr-CA"/>
        </w:rPr>
        <w:t xml:space="preserve"> de la carte; et</w:t>
      </w:r>
    </w:p>
    <w:p w14:paraId="2C221869" w14:textId="41D92D07" w:rsidR="006B5BA9" w:rsidRPr="00334904" w:rsidRDefault="006B5BA9" w:rsidP="003F66F0">
      <w:pPr>
        <w:pStyle w:val="ListRef"/>
        <w:numPr>
          <w:ilvl w:val="0"/>
          <w:numId w:val="71"/>
        </w:numPr>
        <w:rPr>
          <w:lang w:val="fr-CA"/>
        </w:rPr>
      </w:pPr>
      <w:proofErr w:type="gramStart"/>
      <w:r w:rsidRPr="008E36E2">
        <w:rPr>
          <w:lang w:val="fr-CA"/>
        </w:rPr>
        <w:lastRenderedPageBreak/>
        <w:t>assure</w:t>
      </w:r>
      <w:r w:rsidR="00334904">
        <w:rPr>
          <w:lang w:val="fr-CA"/>
        </w:rPr>
        <w:t>r</w:t>
      </w:r>
      <w:proofErr w:type="gramEnd"/>
      <w:r w:rsidR="00334904">
        <w:rPr>
          <w:lang w:val="fr-CA"/>
        </w:rPr>
        <w:t xml:space="preserve"> </w:t>
      </w:r>
      <w:r w:rsidRPr="008E36E2">
        <w:rPr>
          <w:lang w:val="fr-CA"/>
        </w:rPr>
        <w:t>que les éléments de la carte contrastent avec l</w:t>
      </w:r>
      <w:r w:rsidR="00175CDA">
        <w:rPr>
          <w:lang w:val="fr-CA"/>
        </w:rPr>
        <w:t>’</w:t>
      </w:r>
      <w:r w:rsidRPr="008E36E2">
        <w:rPr>
          <w:lang w:val="fr-CA"/>
        </w:rPr>
        <w:t>arrière-plan</w:t>
      </w:r>
      <w:r w:rsidR="00582F6E">
        <w:rPr>
          <w:lang w:val="fr-CA"/>
        </w:rPr>
        <w:t xml:space="preserve"> conforme aux articles </w:t>
      </w:r>
      <w:r w:rsidR="00E424AC">
        <w:fldChar w:fldCharType="begin"/>
      </w:r>
      <w:r w:rsidR="00E424AC" w:rsidRPr="007C0FBA">
        <w:rPr>
          <w:lang w:val="fr-CA"/>
        </w:rPr>
        <w:instrText>HYPERLINK \l "_Luminance_contrast"</w:instrText>
      </w:r>
      <w:r w:rsidR="00E424AC">
        <w:fldChar w:fldCharType="separate"/>
      </w:r>
      <w:r w:rsidR="00E424AC" w:rsidRPr="00334904">
        <w:rPr>
          <w:rStyle w:val="Hyperlink"/>
          <w:lang w:val="fr-CA"/>
        </w:rPr>
        <w:t>1</w:t>
      </w:r>
      <w:r w:rsidR="00582F6E">
        <w:rPr>
          <w:rStyle w:val="Hyperlink"/>
          <w:lang w:val="fr-CA"/>
        </w:rPr>
        <w:t>0</w:t>
      </w:r>
      <w:r w:rsidR="00E424AC" w:rsidRPr="00334904">
        <w:rPr>
          <w:rStyle w:val="Hyperlink"/>
          <w:lang w:val="fr-CA"/>
        </w:rPr>
        <w:t>.2</w:t>
      </w:r>
      <w:r w:rsidR="00E424AC">
        <w:fldChar w:fldCharType="end"/>
      </w:r>
      <w:r w:rsidR="00582F6E" w:rsidRPr="00582F6E">
        <w:rPr>
          <w:lang w:val="fr-CA"/>
        </w:rPr>
        <w:t xml:space="preserve">, </w:t>
      </w:r>
      <w:r w:rsidR="00582F6E">
        <w:fldChar w:fldCharType="begin"/>
      </w:r>
      <w:r w:rsidR="00582F6E" w:rsidRPr="007C0FBA">
        <w:rPr>
          <w:lang w:val="fr-CA"/>
        </w:rPr>
        <w:instrText>HYPERLINK \l "_Choix_des_couleurs"</w:instrText>
      </w:r>
      <w:r w:rsidR="00582F6E">
        <w:fldChar w:fldCharType="separate"/>
      </w:r>
      <w:r w:rsidR="00582F6E" w:rsidRPr="00F65E23">
        <w:rPr>
          <w:rStyle w:val="Hyperlink"/>
          <w:lang w:val="fr-CA"/>
        </w:rPr>
        <w:t>10.3</w:t>
      </w:r>
      <w:r w:rsidR="00582F6E">
        <w:fldChar w:fldCharType="end"/>
      </w:r>
      <w:r w:rsidRPr="00334904">
        <w:rPr>
          <w:lang w:val="fr-CA"/>
        </w:rPr>
        <w:t xml:space="preserve"> et </w:t>
      </w:r>
      <w:r w:rsidR="00E424AC">
        <w:fldChar w:fldCharType="begin"/>
      </w:r>
      <w:r w:rsidR="00E424AC" w:rsidRPr="007C0FBA">
        <w:rPr>
          <w:lang w:val="fr-CA"/>
        </w:rPr>
        <w:instrText>HYPERLINK \l "_Colour_contrast"</w:instrText>
      </w:r>
      <w:r w:rsidR="00E424AC">
        <w:fldChar w:fldCharType="separate"/>
      </w:r>
      <w:r w:rsidR="00E424AC" w:rsidRPr="00334904">
        <w:rPr>
          <w:rStyle w:val="Hyperlink"/>
          <w:lang w:val="fr-CA"/>
        </w:rPr>
        <w:t>1</w:t>
      </w:r>
      <w:r w:rsidR="00582F6E">
        <w:rPr>
          <w:rStyle w:val="Hyperlink"/>
          <w:lang w:val="fr-CA"/>
        </w:rPr>
        <w:t>2</w:t>
      </w:r>
      <w:r w:rsidR="00E424AC" w:rsidRPr="00334904">
        <w:rPr>
          <w:rStyle w:val="Hyperlink"/>
          <w:lang w:val="fr-CA"/>
        </w:rPr>
        <w:t>.5</w:t>
      </w:r>
      <w:r w:rsidR="00E424AC">
        <w:fldChar w:fldCharType="end"/>
      </w:r>
      <w:r w:rsidRPr="00334904">
        <w:rPr>
          <w:lang w:val="fr-CA"/>
        </w:rPr>
        <w:t>.</w:t>
      </w:r>
    </w:p>
    <w:p w14:paraId="37D9B6D0" w14:textId="33C50315" w:rsidR="006B5BA9" w:rsidRDefault="00456C48" w:rsidP="00456C48">
      <w:pPr>
        <w:pStyle w:val="Heading2"/>
      </w:pPr>
      <w:bookmarkStart w:id="680" w:name="_Toc219706257"/>
      <w:r>
        <w:t>Orientation</w:t>
      </w:r>
      <w:bookmarkEnd w:id="680"/>
    </w:p>
    <w:p w14:paraId="5600D724" w14:textId="797EB03C" w:rsidR="00456C48" w:rsidRPr="00334904" w:rsidRDefault="00456C48" w:rsidP="00B07593">
      <w:pPr>
        <w:pStyle w:val="ListRef"/>
        <w:ind w:left="0" w:firstLine="0"/>
        <w:rPr>
          <w:lang w:val="fr-CA"/>
        </w:rPr>
      </w:pPr>
      <w:r w:rsidRPr="00334904">
        <w:rPr>
          <w:lang w:val="fr-CA"/>
        </w:rPr>
        <w:t>Des éléments d</w:t>
      </w:r>
      <w:r w:rsidR="00175CDA">
        <w:rPr>
          <w:lang w:val="fr-CA"/>
        </w:rPr>
        <w:t>’</w:t>
      </w:r>
      <w:r w:rsidRPr="00334904">
        <w:rPr>
          <w:lang w:val="fr-CA"/>
        </w:rPr>
        <w:t>orientation, comme une flèche vers le nord ou une épingle « vous êtes ici », doivent être utilisés pour aider les utilisateurs à comprendre l</w:t>
      </w:r>
      <w:r w:rsidR="00175CDA">
        <w:rPr>
          <w:lang w:val="fr-CA"/>
        </w:rPr>
        <w:t>’</w:t>
      </w:r>
      <w:r w:rsidRPr="00334904">
        <w:rPr>
          <w:lang w:val="fr-CA"/>
        </w:rPr>
        <w:t>orientation de la carte et leur position actuelle.</w:t>
      </w:r>
    </w:p>
    <w:p w14:paraId="21C67846" w14:textId="6FDC406E" w:rsidR="00456C48" w:rsidRDefault="0021631E" w:rsidP="0021631E">
      <w:pPr>
        <w:pStyle w:val="Heading2"/>
      </w:pPr>
      <w:bookmarkStart w:id="681" w:name="_Toc219706258"/>
      <w:proofErr w:type="spellStart"/>
      <w:r>
        <w:t>Légende</w:t>
      </w:r>
      <w:bookmarkEnd w:id="681"/>
      <w:proofErr w:type="spellEnd"/>
    </w:p>
    <w:p w14:paraId="025CE015" w14:textId="5E80F380" w:rsidR="0021631E" w:rsidRPr="00565812" w:rsidRDefault="0021631E" w:rsidP="0021631E">
      <w:pPr>
        <w:rPr>
          <w:lang w:val="fr-CA"/>
        </w:rPr>
      </w:pPr>
      <w:r w:rsidRPr="00565812">
        <w:rPr>
          <w:lang w:val="fr-CA"/>
        </w:rPr>
        <w:t xml:space="preserve">Les légendes </w:t>
      </w:r>
      <w:r w:rsidR="003B7896">
        <w:rPr>
          <w:lang w:val="fr-CA"/>
        </w:rPr>
        <w:t>doivent fournir</w:t>
      </w:r>
      <w:r w:rsidRPr="00565812">
        <w:rPr>
          <w:lang w:val="fr-CA"/>
        </w:rPr>
        <w:t xml:space="preserve"> des explications claires des caractéristiques sur la carte et </w:t>
      </w:r>
      <w:r w:rsidR="00A50C4D">
        <w:rPr>
          <w:lang w:val="fr-CA"/>
        </w:rPr>
        <w:t>être</w:t>
      </w:r>
      <w:r w:rsidRPr="00565812">
        <w:rPr>
          <w:lang w:val="fr-CA"/>
        </w:rPr>
        <w:t xml:space="preserve"> facilement compréhensibles.</w:t>
      </w:r>
    </w:p>
    <w:p w14:paraId="35B51666" w14:textId="76F7B7E2" w:rsidR="0021631E" w:rsidRDefault="00C93C50" w:rsidP="00C93C50">
      <w:pPr>
        <w:pStyle w:val="Heading2"/>
      </w:pPr>
      <w:bookmarkStart w:id="682" w:name="_Toc219706259"/>
      <w:r>
        <w:t>Index</w:t>
      </w:r>
      <w:bookmarkEnd w:id="682"/>
    </w:p>
    <w:p w14:paraId="2004F0E0" w14:textId="77777777" w:rsidR="00C93C50" w:rsidRPr="00A50C4D" w:rsidRDefault="00C93C50" w:rsidP="00C93C50">
      <w:pPr>
        <w:pStyle w:val="ListRef"/>
        <w:ind w:left="0" w:firstLine="0"/>
        <w:rPr>
          <w:lang w:val="fr-CA"/>
        </w:rPr>
      </w:pPr>
      <w:r w:rsidRPr="00A50C4D">
        <w:rPr>
          <w:lang w:val="fr-CA"/>
        </w:rPr>
        <w:t>Les cartes doivent inclure un index dans le plan de localisation ou la carte guide pour aider les utilisateurs à trouver des informations spécifiques.</w:t>
      </w:r>
    </w:p>
    <w:p w14:paraId="4170D0BE" w14:textId="046D4330" w:rsidR="00C93C50" w:rsidRDefault="003452E9" w:rsidP="003452E9">
      <w:pPr>
        <w:pStyle w:val="Heading2"/>
      </w:pPr>
      <w:bookmarkStart w:id="683" w:name="_Toc219706260"/>
      <w:proofErr w:type="spellStart"/>
      <w:r>
        <w:t>Échelle</w:t>
      </w:r>
      <w:bookmarkEnd w:id="683"/>
      <w:proofErr w:type="spellEnd"/>
    </w:p>
    <w:p w14:paraId="46C3AB11" w14:textId="580831A7" w:rsidR="003452E9" w:rsidRPr="004851AF" w:rsidRDefault="003452E9" w:rsidP="003452E9">
      <w:pPr>
        <w:rPr>
          <w:lang w:val="fr-CA"/>
        </w:rPr>
      </w:pPr>
      <w:r w:rsidRPr="004851AF">
        <w:rPr>
          <w:lang w:val="fr-CA"/>
        </w:rPr>
        <w:t>L</w:t>
      </w:r>
      <w:r w:rsidR="00175CDA">
        <w:rPr>
          <w:lang w:val="fr-CA"/>
        </w:rPr>
        <w:t>’</w:t>
      </w:r>
      <w:r w:rsidRPr="004851AF">
        <w:rPr>
          <w:lang w:val="fr-CA"/>
        </w:rPr>
        <w:t xml:space="preserve">échelle de la carte </w:t>
      </w:r>
      <w:r w:rsidR="004851AF">
        <w:rPr>
          <w:lang w:val="fr-CA"/>
        </w:rPr>
        <w:t>doit</w:t>
      </w:r>
      <w:r w:rsidR="004A0CDA">
        <w:rPr>
          <w:lang w:val="fr-CA"/>
        </w:rPr>
        <w:t> </w:t>
      </w:r>
      <w:r w:rsidRPr="004851AF">
        <w:rPr>
          <w:lang w:val="fr-CA"/>
        </w:rPr>
        <w:t>:</w:t>
      </w:r>
    </w:p>
    <w:p w14:paraId="5A6A2A7E" w14:textId="77777777" w:rsidR="003452E9" w:rsidRPr="004851AF" w:rsidRDefault="003452E9" w:rsidP="003F66F0">
      <w:pPr>
        <w:pStyle w:val="ListRef"/>
        <w:numPr>
          <w:ilvl w:val="0"/>
          <w:numId w:val="72"/>
        </w:numPr>
        <w:rPr>
          <w:lang w:val="fr-CA"/>
        </w:rPr>
      </w:pPr>
      <w:proofErr w:type="gramStart"/>
      <w:r w:rsidRPr="004851AF">
        <w:rPr>
          <w:lang w:val="fr-CA"/>
        </w:rPr>
        <w:t>indiquer</w:t>
      </w:r>
      <w:proofErr w:type="gramEnd"/>
      <w:r w:rsidRPr="004851AF">
        <w:rPr>
          <w:lang w:val="fr-CA"/>
        </w:rPr>
        <w:t xml:space="preserve"> les distances requises pour atteindre les installations; et</w:t>
      </w:r>
    </w:p>
    <w:p w14:paraId="5BD3998F" w14:textId="59E3A699" w:rsidR="009D3828" w:rsidRPr="0089769E" w:rsidRDefault="004851AF" w:rsidP="003F66F0">
      <w:pPr>
        <w:pStyle w:val="ListRef"/>
        <w:numPr>
          <w:ilvl w:val="0"/>
          <w:numId w:val="72"/>
        </w:numPr>
        <w:rPr>
          <w:lang w:val="fr-CA"/>
        </w:rPr>
      </w:pPr>
      <w:proofErr w:type="gramStart"/>
      <w:r>
        <w:rPr>
          <w:lang w:val="fr-CA"/>
        </w:rPr>
        <w:t>u</w:t>
      </w:r>
      <w:r w:rsidR="003452E9" w:rsidRPr="004851AF">
        <w:rPr>
          <w:lang w:val="fr-CA"/>
        </w:rPr>
        <w:t>tilis</w:t>
      </w:r>
      <w:r>
        <w:rPr>
          <w:lang w:val="fr-CA"/>
        </w:rPr>
        <w:t>er</w:t>
      </w:r>
      <w:proofErr w:type="gramEnd"/>
      <w:r w:rsidR="003452E9" w:rsidRPr="004851AF">
        <w:rPr>
          <w:lang w:val="fr-CA"/>
        </w:rPr>
        <w:t xml:space="preserve"> des barres d</w:t>
      </w:r>
      <w:r w:rsidR="00175CDA">
        <w:rPr>
          <w:lang w:val="fr-CA"/>
        </w:rPr>
        <w:t>’</w:t>
      </w:r>
      <w:r w:rsidR="003452E9" w:rsidRPr="004851AF">
        <w:rPr>
          <w:lang w:val="fr-CA"/>
        </w:rPr>
        <w:t>échelle ou des temps de marche typiques pour bien transmettre cette information.</w:t>
      </w:r>
    </w:p>
    <w:p w14:paraId="21E8CFD1" w14:textId="11CACB6D" w:rsidR="003452E9" w:rsidRDefault="002531EE" w:rsidP="002531EE">
      <w:pPr>
        <w:pStyle w:val="Heading2"/>
      </w:pPr>
      <w:bookmarkStart w:id="684" w:name="_Toc219706261"/>
      <w:proofErr w:type="spellStart"/>
      <w:r>
        <w:t>Positionnement</w:t>
      </w:r>
      <w:bookmarkEnd w:id="684"/>
      <w:proofErr w:type="spellEnd"/>
    </w:p>
    <w:p w14:paraId="63BB274E" w14:textId="4FDB101D" w:rsidR="002531EE" w:rsidRPr="009D3828" w:rsidRDefault="002531EE" w:rsidP="002531EE">
      <w:pPr>
        <w:rPr>
          <w:lang w:val="fr-CA"/>
        </w:rPr>
      </w:pPr>
      <w:r w:rsidRPr="009D3828">
        <w:rPr>
          <w:lang w:val="fr-CA"/>
        </w:rPr>
        <w:t>Le positionnement de la carte doit</w:t>
      </w:r>
      <w:r w:rsidR="004A0CDA">
        <w:rPr>
          <w:lang w:val="fr-CA"/>
        </w:rPr>
        <w:t> </w:t>
      </w:r>
      <w:r w:rsidRPr="009D3828">
        <w:rPr>
          <w:lang w:val="fr-CA"/>
        </w:rPr>
        <w:t>:</w:t>
      </w:r>
    </w:p>
    <w:p w14:paraId="1DDFC74F" w14:textId="4633BEEF" w:rsidR="002531EE" w:rsidRPr="009D3828" w:rsidRDefault="002531EE" w:rsidP="003F66F0">
      <w:pPr>
        <w:pStyle w:val="ListRef"/>
        <w:numPr>
          <w:ilvl w:val="0"/>
          <w:numId w:val="73"/>
        </w:numPr>
        <w:rPr>
          <w:lang w:val="fr-CA"/>
        </w:rPr>
      </w:pPr>
      <w:proofErr w:type="gramStart"/>
      <w:r w:rsidRPr="009D3828">
        <w:rPr>
          <w:lang w:val="fr-CA"/>
        </w:rPr>
        <w:t>être</w:t>
      </w:r>
      <w:proofErr w:type="gramEnd"/>
      <w:r w:rsidRPr="009D3828">
        <w:rPr>
          <w:lang w:val="fr-CA"/>
        </w:rPr>
        <w:t xml:space="preserve"> placés là où les utilisateurs sont susceptibles de s</w:t>
      </w:r>
      <w:r w:rsidR="00175CDA">
        <w:rPr>
          <w:lang w:val="fr-CA"/>
        </w:rPr>
        <w:t>’</w:t>
      </w:r>
      <w:r w:rsidRPr="009D3828">
        <w:rPr>
          <w:lang w:val="fr-CA"/>
        </w:rPr>
        <w:t>y attendre, comme près des entrées ou des points de décision;</w:t>
      </w:r>
    </w:p>
    <w:p w14:paraId="2CEDF1B9" w14:textId="7D7E79E5" w:rsidR="002531EE" w:rsidRPr="009D3828" w:rsidRDefault="002531EE" w:rsidP="003F66F0">
      <w:pPr>
        <w:pStyle w:val="ListRef"/>
        <w:numPr>
          <w:ilvl w:val="0"/>
          <w:numId w:val="73"/>
        </w:numPr>
        <w:rPr>
          <w:lang w:val="fr-CA"/>
        </w:rPr>
      </w:pPr>
      <w:proofErr w:type="gramStart"/>
      <w:r w:rsidRPr="009D3828">
        <w:rPr>
          <w:lang w:val="fr-CA"/>
        </w:rPr>
        <w:lastRenderedPageBreak/>
        <w:t>être</w:t>
      </w:r>
      <w:proofErr w:type="gramEnd"/>
      <w:r w:rsidRPr="009D3828">
        <w:rPr>
          <w:lang w:val="fr-CA"/>
        </w:rPr>
        <w:t xml:space="preserve"> facilement visible et monté </w:t>
      </w:r>
      <w:proofErr w:type="gramStart"/>
      <w:r w:rsidRPr="009D3828">
        <w:rPr>
          <w:lang w:val="fr-CA"/>
        </w:rPr>
        <w:t>de façon à ce</w:t>
      </w:r>
      <w:proofErr w:type="gramEnd"/>
      <w:r w:rsidRPr="009D3828">
        <w:rPr>
          <w:lang w:val="fr-CA"/>
        </w:rPr>
        <w:t xml:space="preserve"> que l</w:t>
      </w:r>
      <w:r w:rsidR="00175CDA">
        <w:rPr>
          <w:lang w:val="fr-CA"/>
        </w:rPr>
        <w:t>’</w:t>
      </w:r>
      <w:r w:rsidRPr="009D3828">
        <w:rPr>
          <w:lang w:val="fr-CA"/>
        </w:rPr>
        <w:t>axe soit à 1400</w:t>
      </w:r>
      <w:r w:rsidR="003B2C52">
        <w:rPr>
          <w:lang w:val="fr-CA"/>
        </w:rPr>
        <w:t> </w:t>
      </w:r>
      <w:r w:rsidRPr="009D3828">
        <w:rPr>
          <w:lang w:val="fr-CA"/>
        </w:rPr>
        <w:t>mm du niveau du plancher; et</w:t>
      </w:r>
    </w:p>
    <w:p w14:paraId="3F5F1FBF" w14:textId="047CA0CE" w:rsidR="002531EE" w:rsidRPr="009D3828" w:rsidRDefault="009D3828" w:rsidP="003F66F0">
      <w:pPr>
        <w:pStyle w:val="ListRef"/>
        <w:numPr>
          <w:ilvl w:val="0"/>
          <w:numId w:val="73"/>
        </w:numPr>
        <w:rPr>
          <w:lang w:val="fr-CA"/>
        </w:rPr>
      </w:pPr>
      <w:proofErr w:type="gramStart"/>
      <w:r>
        <w:rPr>
          <w:lang w:val="fr-CA"/>
        </w:rPr>
        <w:t>é</w:t>
      </w:r>
      <w:r w:rsidRPr="009D3828">
        <w:rPr>
          <w:lang w:val="fr-CA"/>
        </w:rPr>
        <w:t>vite</w:t>
      </w:r>
      <w:r>
        <w:rPr>
          <w:lang w:val="fr-CA"/>
        </w:rPr>
        <w:t>r</w:t>
      </w:r>
      <w:proofErr w:type="gramEnd"/>
      <w:r>
        <w:rPr>
          <w:lang w:val="fr-CA"/>
        </w:rPr>
        <w:t xml:space="preserve"> </w:t>
      </w:r>
      <w:r w:rsidR="002531EE" w:rsidRPr="009D3828">
        <w:rPr>
          <w:lang w:val="fr-CA"/>
        </w:rPr>
        <w:t>de créer des dangers physiques lors de leur emplacement.</w:t>
      </w:r>
    </w:p>
    <w:p w14:paraId="68C8358C" w14:textId="726ED1CD" w:rsidR="002531EE" w:rsidRDefault="000666B8" w:rsidP="000666B8">
      <w:pPr>
        <w:pStyle w:val="Heading2"/>
      </w:pPr>
      <w:bookmarkStart w:id="685" w:name="_Toc219706262"/>
      <w:proofErr w:type="spellStart"/>
      <w:r>
        <w:t>Éléments</w:t>
      </w:r>
      <w:proofErr w:type="spellEnd"/>
      <w:r>
        <w:t xml:space="preserve"> </w:t>
      </w:r>
      <w:proofErr w:type="spellStart"/>
      <w:r>
        <w:t>commerciaux</w:t>
      </w:r>
      <w:bookmarkEnd w:id="685"/>
      <w:proofErr w:type="spellEnd"/>
    </w:p>
    <w:p w14:paraId="48BAB843" w14:textId="38A21CD7" w:rsidR="000666B8" w:rsidRPr="000C266A" w:rsidRDefault="000666B8" w:rsidP="000666B8">
      <w:pPr>
        <w:pStyle w:val="ListRef"/>
        <w:ind w:left="0" w:firstLine="0"/>
        <w:rPr>
          <w:lang w:val="fr-CA"/>
        </w:rPr>
      </w:pPr>
      <w:r w:rsidRPr="000C266A">
        <w:rPr>
          <w:lang w:val="fr-CA"/>
        </w:rPr>
        <w:t>Lorsque les cartes sont associées à la publicité, les éléments commerciaux ne doivent pas nuire à la capacité des utilisateurs de comprendre et d</w:t>
      </w:r>
      <w:r w:rsidR="00175CDA">
        <w:rPr>
          <w:lang w:val="fr-CA"/>
        </w:rPr>
        <w:t>’</w:t>
      </w:r>
      <w:r w:rsidRPr="000C266A">
        <w:rPr>
          <w:lang w:val="fr-CA"/>
        </w:rPr>
        <w:t>utiliser efficacement la carte.</w:t>
      </w:r>
    </w:p>
    <w:p w14:paraId="0F123653" w14:textId="6ED1DB83" w:rsidR="000666B8" w:rsidRDefault="00D22996" w:rsidP="00D22996">
      <w:pPr>
        <w:pStyle w:val="Heading2"/>
      </w:pPr>
      <w:bookmarkStart w:id="686" w:name="_Toc219706263"/>
      <w:r>
        <w:t xml:space="preserve">Construction et </w:t>
      </w:r>
      <w:proofErr w:type="spellStart"/>
      <w:r>
        <w:t>entretien</w:t>
      </w:r>
      <w:bookmarkEnd w:id="686"/>
      <w:proofErr w:type="spellEnd"/>
    </w:p>
    <w:p w14:paraId="317B033A" w14:textId="5E506F1E" w:rsidR="00D22996" w:rsidRPr="00D97E22" w:rsidRDefault="00D22996" w:rsidP="00D22996">
      <w:pPr>
        <w:rPr>
          <w:lang w:val="fr-CA"/>
        </w:rPr>
      </w:pPr>
      <w:r w:rsidRPr="00D97E22">
        <w:rPr>
          <w:lang w:val="fr-CA"/>
        </w:rPr>
        <w:t>Les plans de localisation doivent</w:t>
      </w:r>
      <w:r w:rsidR="004A0CDA">
        <w:rPr>
          <w:lang w:val="fr-CA"/>
        </w:rPr>
        <w:t> </w:t>
      </w:r>
      <w:r w:rsidRPr="00D97E22">
        <w:rPr>
          <w:lang w:val="fr-CA"/>
        </w:rPr>
        <w:t>:</w:t>
      </w:r>
    </w:p>
    <w:p w14:paraId="57378BE1" w14:textId="77777777" w:rsidR="00D22996" w:rsidRPr="00D97E22" w:rsidRDefault="00D22996" w:rsidP="003F66F0">
      <w:pPr>
        <w:pStyle w:val="ListRef"/>
        <w:numPr>
          <w:ilvl w:val="0"/>
          <w:numId w:val="74"/>
        </w:numPr>
        <w:rPr>
          <w:lang w:val="fr-CA"/>
        </w:rPr>
      </w:pPr>
      <w:proofErr w:type="gramStart"/>
      <w:r w:rsidRPr="00D97E22">
        <w:rPr>
          <w:lang w:val="fr-CA"/>
        </w:rPr>
        <w:t>être</w:t>
      </w:r>
      <w:proofErr w:type="gramEnd"/>
      <w:r w:rsidRPr="00D97E22">
        <w:rPr>
          <w:lang w:val="fr-CA"/>
        </w:rPr>
        <w:t xml:space="preserve"> construits avec des matériaux durables, adaptés à leur position et à leur durée de vie prévue;</w:t>
      </w:r>
    </w:p>
    <w:p w14:paraId="08FE1F58" w14:textId="3B6170FB" w:rsidR="00D22996" w:rsidRPr="00D97E22" w:rsidRDefault="00D22996" w:rsidP="003F66F0">
      <w:pPr>
        <w:pStyle w:val="ListRef"/>
        <w:numPr>
          <w:ilvl w:val="0"/>
          <w:numId w:val="74"/>
        </w:numPr>
        <w:rPr>
          <w:lang w:val="fr-CA"/>
        </w:rPr>
      </w:pPr>
      <w:proofErr w:type="gramStart"/>
      <w:r w:rsidRPr="00D97E22">
        <w:rPr>
          <w:lang w:val="fr-CA"/>
        </w:rPr>
        <w:t>être</w:t>
      </w:r>
      <w:proofErr w:type="gramEnd"/>
      <w:r w:rsidRPr="00D97E22">
        <w:rPr>
          <w:lang w:val="fr-CA"/>
        </w:rPr>
        <w:t xml:space="preserve"> facile</w:t>
      </w:r>
      <w:r w:rsidR="00AC4E43">
        <w:rPr>
          <w:lang w:val="fr-CA"/>
        </w:rPr>
        <w:t>s</w:t>
      </w:r>
      <w:r w:rsidRPr="00D97E22">
        <w:rPr>
          <w:lang w:val="fr-CA"/>
        </w:rPr>
        <w:t xml:space="preserve"> à nettoyer, réparer et mettre à jour, au besoin;</w:t>
      </w:r>
    </w:p>
    <w:p w14:paraId="2A4A517A" w14:textId="19534959" w:rsidR="00D22996" w:rsidRPr="00D97E22" w:rsidRDefault="00D22996" w:rsidP="003F66F0">
      <w:pPr>
        <w:pStyle w:val="ListRef"/>
        <w:numPr>
          <w:ilvl w:val="0"/>
          <w:numId w:val="74"/>
        </w:numPr>
        <w:rPr>
          <w:lang w:val="fr-CA"/>
        </w:rPr>
      </w:pPr>
      <w:proofErr w:type="gramStart"/>
      <w:r w:rsidRPr="00D97E22">
        <w:rPr>
          <w:lang w:val="fr-CA"/>
        </w:rPr>
        <w:t>subi</w:t>
      </w:r>
      <w:r w:rsidR="00AC4E43">
        <w:rPr>
          <w:lang w:val="fr-CA"/>
        </w:rPr>
        <w:t>r</w:t>
      </w:r>
      <w:proofErr w:type="gramEnd"/>
      <w:r w:rsidRPr="00D97E22">
        <w:rPr>
          <w:lang w:val="fr-CA"/>
        </w:rPr>
        <w:t xml:space="preserve"> des inspections régulières pour s</w:t>
      </w:r>
      <w:r w:rsidR="00175CDA">
        <w:rPr>
          <w:lang w:val="fr-CA"/>
        </w:rPr>
        <w:t>’</w:t>
      </w:r>
      <w:r w:rsidRPr="00D97E22">
        <w:rPr>
          <w:lang w:val="fr-CA"/>
        </w:rPr>
        <w:t>assurer qu</w:t>
      </w:r>
      <w:r w:rsidR="00175CDA">
        <w:rPr>
          <w:lang w:val="fr-CA"/>
        </w:rPr>
        <w:t>’</w:t>
      </w:r>
      <w:r w:rsidR="00921C48">
        <w:rPr>
          <w:lang w:val="fr-CA"/>
        </w:rPr>
        <w:t>il</w:t>
      </w:r>
      <w:r w:rsidRPr="00D97E22">
        <w:rPr>
          <w:lang w:val="fr-CA"/>
        </w:rPr>
        <w:t>s demeurent lisibles, visibles, compréhensibles et précises; et</w:t>
      </w:r>
    </w:p>
    <w:p w14:paraId="20DBF60D" w14:textId="464F74C2" w:rsidR="00D22996" w:rsidRPr="00D97E22" w:rsidRDefault="00D22996" w:rsidP="003F66F0">
      <w:pPr>
        <w:pStyle w:val="ListRef"/>
        <w:numPr>
          <w:ilvl w:val="0"/>
          <w:numId w:val="74"/>
        </w:numPr>
        <w:rPr>
          <w:lang w:val="fr-CA"/>
        </w:rPr>
      </w:pPr>
      <w:proofErr w:type="gramStart"/>
      <w:r w:rsidRPr="00D97E22">
        <w:rPr>
          <w:lang w:val="fr-CA"/>
        </w:rPr>
        <w:t>être</w:t>
      </w:r>
      <w:proofErr w:type="gramEnd"/>
      <w:r w:rsidRPr="00D97E22">
        <w:rPr>
          <w:lang w:val="fr-CA"/>
        </w:rPr>
        <w:t xml:space="preserve"> révisé</w:t>
      </w:r>
      <w:r w:rsidR="00921C48">
        <w:rPr>
          <w:lang w:val="fr-CA"/>
        </w:rPr>
        <w:t>s</w:t>
      </w:r>
      <w:r w:rsidRPr="00D97E22">
        <w:rPr>
          <w:lang w:val="fr-CA"/>
        </w:rPr>
        <w:t xml:space="preserve"> et </w:t>
      </w:r>
      <w:r w:rsidR="00A407C9">
        <w:rPr>
          <w:lang w:val="fr-CA"/>
        </w:rPr>
        <w:t>modifi</w:t>
      </w:r>
      <w:r w:rsidRPr="00D97E22">
        <w:rPr>
          <w:lang w:val="fr-CA"/>
        </w:rPr>
        <w:t>é</w:t>
      </w:r>
      <w:r w:rsidR="00A407C9">
        <w:rPr>
          <w:lang w:val="fr-CA"/>
        </w:rPr>
        <w:t>s</w:t>
      </w:r>
      <w:r w:rsidRPr="00D97E22">
        <w:rPr>
          <w:lang w:val="fr-CA"/>
        </w:rPr>
        <w:t xml:space="preserve"> au besoin chaque fois qu</w:t>
      </w:r>
      <w:r w:rsidR="00175CDA">
        <w:rPr>
          <w:lang w:val="fr-CA"/>
        </w:rPr>
        <w:t>’</w:t>
      </w:r>
      <w:r w:rsidRPr="00D97E22">
        <w:rPr>
          <w:lang w:val="fr-CA"/>
        </w:rPr>
        <w:t>il y a un changement dans l</w:t>
      </w:r>
      <w:r w:rsidR="00175CDA">
        <w:rPr>
          <w:lang w:val="fr-CA"/>
        </w:rPr>
        <w:t>’</w:t>
      </w:r>
      <w:r w:rsidRPr="00D97E22">
        <w:rPr>
          <w:lang w:val="fr-CA"/>
        </w:rPr>
        <w:t>information dans la zone couverte par le plan.</w:t>
      </w:r>
    </w:p>
    <w:p w14:paraId="60B44F94" w14:textId="4F366B17" w:rsidR="00410B33" w:rsidRPr="00D97E22" w:rsidRDefault="00410B33" w:rsidP="00410B33">
      <w:pPr>
        <w:keepLines w:val="0"/>
        <w:spacing w:before="0" w:beforeAutospacing="0" w:line="259" w:lineRule="auto"/>
        <w:rPr>
          <w:lang w:val="fr-CA"/>
        </w:rPr>
      </w:pPr>
      <w:r w:rsidRPr="00D97E22">
        <w:rPr>
          <w:lang w:val="fr-CA"/>
        </w:rPr>
        <w:br w:type="page"/>
      </w:r>
    </w:p>
    <w:p w14:paraId="180AEBA9" w14:textId="48B668BF" w:rsidR="00F31737" w:rsidRPr="00D97E22" w:rsidRDefault="006151EA" w:rsidP="001476CA">
      <w:pPr>
        <w:pStyle w:val="Heading1"/>
        <w:rPr>
          <w:lang w:val="fr-CA"/>
        </w:rPr>
      </w:pPr>
      <w:bookmarkStart w:id="687" w:name="_Toc219706264"/>
      <w:r w:rsidRPr="00D97E22">
        <w:rPr>
          <w:lang w:val="fr-CA"/>
        </w:rPr>
        <w:lastRenderedPageBreak/>
        <w:t>Annexe A</w:t>
      </w:r>
      <w:r w:rsidR="004A0CDA">
        <w:rPr>
          <w:lang w:val="fr-CA"/>
        </w:rPr>
        <w:t> </w:t>
      </w:r>
      <w:r w:rsidRPr="00D97E22">
        <w:rPr>
          <w:lang w:val="fr-CA"/>
        </w:rPr>
        <w:t>: Mesure de la résistance au glissement (à titre informatif)</w:t>
      </w:r>
      <w:bookmarkStart w:id="688" w:name="_Annex_B:_Slip"/>
      <w:bookmarkStart w:id="689" w:name="_Toc154490820"/>
      <w:bookmarkEnd w:id="687"/>
      <w:bookmarkEnd w:id="688"/>
    </w:p>
    <w:p w14:paraId="770FBE5F" w14:textId="43FE6EA2" w:rsidR="0072751D" w:rsidRPr="00877353" w:rsidRDefault="0072751D" w:rsidP="0072751D">
      <w:pPr>
        <w:rPr>
          <w:lang w:val="fr-CA"/>
        </w:rPr>
      </w:pPr>
      <w:r w:rsidRPr="00877353">
        <w:rPr>
          <w:lang w:val="fr-CA"/>
        </w:rPr>
        <w:t xml:space="preserve">La mesure de la résistance au glissement des </w:t>
      </w:r>
      <w:r w:rsidR="00750E24">
        <w:rPr>
          <w:lang w:val="fr-CA"/>
        </w:rPr>
        <w:t>ITSM</w:t>
      </w:r>
      <w:r w:rsidRPr="00877353">
        <w:rPr>
          <w:lang w:val="fr-CA"/>
        </w:rPr>
        <w:t xml:space="preserve"> a évolué au cours des </w:t>
      </w:r>
      <w:r w:rsidR="00053B0A">
        <w:rPr>
          <w:lang w:val="fr-CA"/>
        </w:rPr>
        <w:t>10</w:t>
      </w:r>
      <w:r w:rsidR="003B2C52">
        <w:rPr>
          <w:lang w:val="fr-CA"/>
        </w:rPr>
        <w:t> </w:t>
      </w:r>
      <w:r w:rsidRPr="00877353">
        <w:rPr>
          <w:lang w:val="fr-CA"/>
        </w:rPr>
        <w:t>dernières années. Actuellement, il n</w:t>
      </w:r>
      <w:r w:rsidR="00175CDA">
        <w:rPr>
          <w:lang w:val="fr-CA"/>
        </w:rPr>
        <w:t>’</w:t>
      </w:r>
      <w:r w:rsidRPr="00877353">
        <w:rPr>
          <w:lang w:val="fr-CA"/>
        </w:rPr>
        <w:t>y a pas de solution parfaite. La résistance au glissement d</w:t>
      </w:r>
      <w:r w:rsidR="00053B0A">
        <w:rPr>
          <w:lang w:val="fr-CA"/>
        </w:rPr>
        <w:t>evrai</w:t>
      </w:r>
      <w:r w:rsidRPr="00877353">
        <w:rPr>
          <w:lang w:val="fr-CA"/>
        </w:rPr>
        <w:t>t être déterminée lors de la fabrication, mais aussi mesurée in situ lors de l</w:t>
      </w:r>
      <w:r w:rsidR="00175CDA">
        <w:rPr>
          <w:lang w:val="fr-CA"/>
        </w:rPr>
        <w:t>’</w:t>
      </w:r>
      <w:r w:rsidRPr="00877353">
        <w:rPr>
          <w:lang w:val="fr-CA"/>
        </w:rPr>
        <w:t>installation et au fil du temps. L</w:t>
      </w:r>
      <w:r w:rsidR="00175CDA">
        <w:rPr>
          <w:lang w:val="fr-CA"/>
        </w:rPr>
        <w:t>’</w:t>
      </w:r>
      <w:r w:rsidRPr="00877353">
        <w:rPr>
          <w:lang w:val="fr-CA"/>
        </w:rPr>
        <w:t>emplacement d</w:t>
      </w:r>
      <w:r w:rsidR="00175CDA">
        <w:rPr>
          <w:lang w:val="fr-CA"/>
        </w:rPr>
        <w:t>’</w:t>
      </w:r>
      <w:r w:rsidRPr="00877353">
        <w:rPr>
          <w:lang w:val="fr-CA"/>
        </w:rPr>
        <w:t xml:space="preserve">un </w:t>
      </w:r>
      <w:r w:rsidR="00750E24">
        <w:rPr>
          <w:lang w:val="fr-CA"/>
        </w:rPr>
        <w:t>ITSM</w:t>
      </w:r>
      <w:r w:rsidRPr="00877353">
        <w:rPr>
          <w:lang w:val="fr-CA"/>
        </w:rPr>
        <w:t xml:space="preserve"> est influencé par les conditions d</w:t>
      </w:r>
      <w:r w:rsidR="00175CDA">
        <w:rPr>
          <w:lang w:val="fr-CA"/>
        </w:rPr>
        <w:t>’</w:t>
      </w:r>
      <w:r w:rsidRPr="00877353">
        <w:rPr>
          <w:lang w:val="fr-CA"/>
        </w:rPr>
        <w:t>utilisation et l</w:t>
      </w:r>
      <w:r w:rsidR="00175CDA">
        <w:rPr>
          <w:lang w:val="fr-CA"/>
        </w:rPr>
        <w:t>’</w:t>
      </w:r>
      <w:r w:rsidRPr="00877353">
        <w:rPr>
          <w:lang w:val="fr-CA"/>
        </w:rPr>
        <w:t>environnement, ce qui rend difficile l</w:t>
      </w:r>
      <w:r w:rsidR="00175CDA">
        <w:rPr>
          <w:lang w:val="fr-CA"/>
        </w:rPr>
        <w:t>’</w:t>
      </w:r>
      <w:r w:rsidRPr="00877353">
        <w:rPr>
          <w:lang w:val="fr-CA"/>
        </w:rPr>
        <w:t>élaboration d</w:t>
      </w:r>
      <w:r w:rsidR="00175CDA">
        <w:rPr>
          <w:lang w:val="fr-CA"/>
        </w:rPr>
        <w:t>’</w:t>
      </w:r>
      <w:r w:rsidRPr="00877353">
        <w:rPr>
          <w:lang w:val="fr-CA"/>
        </w:rPr>
        <w:t>une méthode comparative pour tous les cas.</w:t>
      </w:r>
    </w:p>
    <w:p w14:paraId="32074929" w14:textId="46971CD8" w:rsidR="0072751D" w:rsidRPr="002A59B9" w:rsidRDefault="0072751D" w:rsidP="0072751D">
      <w:pPr>
        <w:rPr>
          <w:lang w:val="fr-CA"/>
        </w:rPr>
      </w:pPr>
      <w:r w:rsidRPr="002A59B9">
        <w:rPr>
          <w:lang w:val="fr-CA"/>
        </w:rPr>
        <w:t>Actuellement, les experts privilégient l</w:t>
      </w:r>
      <w:r w:rsidR="00175CDA">
        <w:rPr>
          <w:lang w:val="fr-CA"/>
        </w:rPr>
        <w:t>’</w:t>
      </w:r>
      <w:r w:rsidRPr="002A59B9">
        <w:rPr>
          <w:lang w:val="fr-CA"/>
        </w:rPr>
        <w:t>utilisation de la norme EN 16165:2021</w:t>
      </w:r>
      <w:r w:rsidR="009879B2">
        <w:rPr>
          <w:lang w:val="fr-CA"/>
        </w:rPr>
        <w:t xml:space="preserve"> - </w:t>
      </w:r>
      <w:proofErr w:type="spellStart"/>
      <w:r w:rsidR="004747A6" w:rsidRPr="004747A6">
        <w:rPr>
          <w:lang w:val="fr-CA"/>
        </w:rPr>
        <w:t>Determination</w:t>
      </w:r>
      <w:proofErr w:type="spellEnd"/>
      <w:r w:rsidR="004747A6" w:rsidRPr="004747A6">
        <w:rPr>
          <w:lang w:val="fr-CA"/>
        </w:rPr>
        <w:t xml:space="preserve"> of slip </w:t>
      </w:r>
      <w:proofErr w:type="spellStart"/>
      <w:r w:rsidR="004747A6" w:rsidRPr="004747A6">
        <w:rPr>
          <w:lang w:val="fr-CA"/>
        </w:rPr>
        <w:t>resistance</w:t>
      </w:r>
      <w:proofErr w:type="spellEnd"/>
      <w:r w:rsidR="004747A6" w:rsidRPr="004747A6">
        <w:rPr>
          <w:lang w:val="fr-CA"/>
        </w:rPr>
        <w:t xml:space="preserve"> of pedestrian surfaces -Methods of </w:t>
      </w:r>
      <w:r w:rsidR="00B91DB2">
        <w:rPr>
          <w:lang w:val="fr-CA"/>
        </w:rPr>
        <w:t>é</w:t>
      </w:r>
      <w:r w:rsidR="004747A6" w:rsidRPr="004747A6">
        <w:rPr>
          <w:lang w:val="fr-CA"/>
        </w:rPr>
        <w:t>valuation</w:t>
      </w:r>
      <w:r w:rsidR="00F3027B">
        <w:rPr>
          <w:lang w:val="fr-CA"/>
        </w:rPr>
        <w:t xml:space="preserve"> (en anglais seulement) </w:t>
      </w:r>
      <w:r w:rsidRPr="002A59B9">
        <w:rPr>
          <w:lang w:val="fr-CA"/>
        </w:rPr>
        <w:t>qui offre l</w:t>
      </w:r>
      <w:r w:rsidR="00175CDA">
        <w:rPr>
          <w:lang w:val="fr-CA"/>
        </w:rPr>
        <w:t>’</w:t>
      </w:r>
      <w:r w:rsidRPr="002A59B9">
        <w:rPr>
          <w:lang w:val="fr-CA"/>
        </w:rPr>
        <w:t>option de 3</w:t>
      </w:r>
      <w:r w:rsidR="003B2C52">
        <w:rPr>
          <w:lang w:val="fr-CA"/>
        </w:rPr>
        <w:t> </w:t>
      </w:r>
      <w:r w:rsidRPr="002A59B9">
        <w:rPr>
          <w:lang w:val="fr-CA"/>
        </w:rPr>
        <w:t>méthodes d</w:t>
      </w:r>
      <w:r w:rsidR="00175CDA">
        <w:rPr>
          <w:lang w:val="fr-CA"/>
        </w:rPr>
        <w:t>’</w:t>
      </w:r>
      <w:r w:rsidRPr="002A59B9">
        <w:rPr>
          <w:lang w:val="fr-CA"/>
        </w:rPr>
        <w:t xml:space="preserve">essai de résistance au glissement (rampe </w:t>
      </w:r>
      <w:r w:rsidR="00976D3F">
        <w:rPr>
          <w:lang w:val="fr-CA"/>
        </w:rPr>
        <w:t>mouillée</w:t>
      </w:r>
      <w:r w:rsidRPr="002A59B9">
        <w:rPr>
          <w:lang w:val="fr-CA"/>
        </w:rPr>
        <w:t xml:space="preserve"> d</w:t>
      </w:r>
      <w:r w:rsidR="00175CDA">
        <w:rPr>
          <w:lang w:val="fr-CA"/>
        </w:rPr>
        <w:t>’</w:t>
      </w:r>
      <w:r w:rsidRPr="002A59B9">
        <w:rPr>
          <w:lang w:val="fr-CA"/>
        </w:rPr>
        <w:t xml:space="preserve">huile, rampe </w:t>
      </w:r>
      <w:r w:rsidR="00F40AC0">
        <w:rPr>
          <w:lang w:val="fr-CA"/>
        </w:rPr>
        <w:t xml:space="preserve">mouillée </w:t>
      </w:r>
      <w:r w:rsidRPr="002A59B9">
        <w:rPr>
          <w:lang w:val="fr-CA"/>
        </w:rPr>
        <w:t>pieds nu</w:t>
      </w:r>
      <w:r w:rsidR="00F40AC0">
        <w:rPr>
          <w:lang w:val="fr-CA"/>
        </w:rPr>
        <w:t>s</w:t>
      </w:r>
      <w:r w:rsidRPr="002A59B9">
        <w:rPr>
          <w:lang w:val="fr-CA"/>
        </w:rPr>
        <w:t xml:space="preserve"> et pendule).</w:t>
      </w:r>
    </w:p>
    <w:p w14:paraId="5C8E6D1B" w14:textId="7CFC2A24" w:rsidR="0072751D" w:rsidRPr="002A59B9" w:rsidRDefault="0072751D" w:rsidP="0072751D">
      <w:pPr>
        <w:rPr>
          <w:lang w:val="fr-CA"/>
        </w:rPr>
      </w:pPr>
      <w:r w:rsidRPr="002A59B9">
        <w:rPr>
          <w:lang w:val="fr-CA"/>
        </w:rPr>
        <w:t>Les méthodes d</w:t>
      </w:r>
      <w:r w:rsidR="00175CDA">
        <w:rPr>
          <w:lang w:val="fr-CA"/>
        </w:rPr>
        <w:t>’</w:t>
      </w:r>
      <w:r w:rsidRPr="002A59B9">
        <w:rPr>
          <w:lang w:val="fr-CA"/>
        </w:rPr>
        <w:t>essai de la norme EN 16165 sont</w:t>
      </w:r>
      <w:r w:rsidR="004A0CDA">
        <w:rPr>
          <w:lang w:val="fr-CA"/>
        </w:rPr>
        <w:t> </w:t>
      </w:r>
      <w:r w:rsidRPr="002A59B9">
        <w:rPr>
          <w:lang w:val="fr-CA"/>
        </w:rPr>
        <w:t>:</w:t>
      </w:r>
    </w:p>
    <w:p w14:paraId="5EFC7C06" w14:textId="69A4F1E1" w:rsidR="0072751D" w:rsidRPr="00A022A8" w:rsidRDefault="004642A9" w:rsidP="003F66F0">
      <w:pPr>
        <w:pStyle w:val="ListParagraph"/>
        <w:numPr>
          <w:ilvl w:val="0"/>
          <w:numId w:val="81"/>
        </w:numPr>
        <w:rPr>
          <w:lang w:val="fr-CA"/>
        </w:rPr>
      </w:pPr>
      <w:r w:rsidRPr="00A022A8">
        <w:rPr>
          <w:lang w:val="fr-CA"/>
        </w:rPr>
        <w:t>Annexe A (normatif) Essai</w:t>
      </w:r>
      <w:r w:rsidR="0072751D" w:rsidRPr="00A022A8">
        <w:rPr>
          <w:lang w:val="fr-CA"/>
        </w:rPr>
        <w:t xml:space="preserve"> de rampe pieds nus</w:t>
      </w:r>
    </w:p>
    <w:p w14:paraId="172EDC81" w14:textId="0E6AB606" w:rsidR="0072751D" w:rsidRPr="00A022A8" w:rsidRDefault="006D5F33" w:rsidP="003F66F0">
      <w:pPr>
        <w:pStyle w:val="ListParagraph"/>
        <w:numPr>
          <w:ilvl w:val="0"/>
          <w:numId w:val="81"/>
        </w:numPr>
        <w:rPr>
          <w:lang w:val="fr-CA"/>
        </w:rPr>
      </w:pPr>
      <w:r w:rsidRPr="00A022A8">
        <w:rPr>
          <w:lang w:val="fr-CA"/>
        </w:rPr>
        <w:t xml:space="preserve">Annexe B (normatif) Essai </w:t>
      </w:r>
      <w:r w:rsidR="00A84B1F">
        <w:rPr>
          <w:lang w:val="fr-CA"/>
        </w:rPr>
        <w:t xml:space="preserve">sur rampe avec chaussures </w:t>
      </w:r>
    </w:p>
    <w:p w14:paraId="7BCE1109" w14:textId="0238A446" w:rsidR="0072751D" w:rsidRPr="00A022A8" w:rsidRDefault="00C54C44" w:rsidP="003F66F0">
      <w:pPr>
        <w:pStyle w:val="ListParagraph"/>
        <w:numPr>
          <w:ilvl w:val="0"/>
          <w:numId w:val="81"/>
        </w:numPr>
        <w:rPr>
          <w:lang w:val="fr-CA"/>
        </w:rPr>
      </w:pPr>
      <w:r w:rsidRPr="00A022A8">
        <w:rPr>
          <w:lang w:val="fr-CA"/>
        </w:rPr>
        <w:t>Annexe C (normatif) Essai d</w:t>
      </w:r>
      <w:r w:rsidR="00964418" w:rsidRPr="00A022A8">
        <w:rPr>
          <w:lang w:val="fr-CA"/>
        </w:rPr>
        <w:t xml:space="preserve">u </w:t>
      </w:r>
      <w:r w:rsidR="0072751D" w:rsidRPr="00A022A8">
        <w:rPr>
          <w:lang w:val="fr-CA"/>
        </w:rPr>
        <w:t>pendule</w:t>
      </w:r>
    </w:p>
    <w:p w14:paraId="2B706DBF" w14:textId="74BB396B" w:rsidR="0072751D" w:rsidRPr="00A022A8" w:rsidRDefault="00964418" w:rsidP="003F66F0">
      <w:pPr>
        <w:pStyle w:val="ListParagraph"/>
        <w:numPr>
          <w:ilvl w:val="0"/>
          <w:numId w:val="81"/>
        </w:numPr>
        <w:rPr>
          <w:lang w:val="fr-CA"/>
        </w:rPr>
      </w:pPr>
      <w:r w:rsidRPr="00A022A8">
        <w:rPr>
          <w:lang w:val="fr-CA"/>
        </w:rPr>
        <w:t xml:space="preserve">Annexe D (normatif) Essai </w:t>
      </w:r>
      <w:r w:rsidR="00F442C5" w:rsidRPr="00A022A8">
        <w:rPr>
          <w:lang w:val="fr-CA"/>
        </w:rPr>
        <w:t>t</w:t>
      </w:r>
      <w:r w:rsidR="0072751D" w:rsidRPr="00A022A8">
        <w:rPr>
          <w:lang w:val="fr-CA"/>
        </w:rPr>
        <w:t>ribomètre</w:t>
      </w:r>
    </w:p>
    <w:p w14:paraId="132F0C62" w14:textId="3FCFE08E" w:rsidR="0072751D" w:rsidRPr="00877353" w:rsidRDefault="0072751D" w:rsidP="0072751D">
      <w:pPr>
        <w:rPr>
          <w:lang w:val="fr-CA"/>
        </w:rPr>
      </w:pPr>
      <w:r w:rsidRPr="00877353">
        <w:rPr>
          <w:lang w:val="fr-CA"/>
        </w:rPr>
        <w:t xml:space="preserve">Parmi celles-ci, le test du pendule est pertinent pour les TWSI, en particulier les </w:t>
      </w:r>
      <w:r w:rsidR="00DE27AC">
        <w:rPr>
          <w:lang w:val="fr-CA"/>
        </w:rPr>
        <w:t>articles</w:t>
      </w:r>
      <w:r w:rsidRPr="00877353">
        <w:rPr>
          <w:lang w:val="fr-CA"/>
        </w:rPr>
        <w:t xml:space="preserve"> suivants sont considérés comme essentiels.</w:t>
      </w:r>
    </w:p>
    <w:p w14:paraId="36B277B2" w14:textId="77777777" w:rsidR="00A867E9" w:rsidRDefault="00A867E9">
      <w:pPr>
        <w:keepLines w:val="0"/>
        <w:spacing w:before="0" w:beforeAutospacing="0" w:line="259" w:lineRule="auto"/>
        <w:rPr>
          <w:lang w:val="fr-CA"/>
        </w:rPr>
      </w:pPr>
      <w:r>
        <w:rPr>
          <w:lang w:val="fr-CA"/>
        </w:rPr>
        <w:br w:type="page"/>
      </w:r>
    </w:p>
    <w:p w14:paraId="0EFAD6D5" w14:textId="31983192" w:rsidR="0072751D" w:rsidRPr="00DE27AC" w:rsidRDefault="0072751D" w:rsidP="0072751D">
      <w:pPr>
        <w:rPr>
          <w:lang w:val="fr-CA"/>
        </w:rPr>
      </w:pPr>
      <w:r w:rsidRPr="00DE27AC">
        <w:rPr>
          <w:lang w:val="fr-CA"/>
        </w:rPr>
        <w:lastRenderedPageBreak/>
        <w:t>C.3.4 Platitude de la surface</w:t>
      </w:r>
    </w:p>
    <w:p w14:paraId="48106AF1" w14:textId="74F477EA" w:rsidR="0072751D" w:rsidRPr="00DE27AC" w:rsidRDefault="0072751D" w:rsidP="0072751D">
      <w:pPr>
        <w:rPr>
          <w:lang w:val="fr-CA"/>
        </w:rPr>
      </w:pPr>
      <w:r w:rsidRPr="00DE27AC">
        <w:rPr>
          <w:lang w:val="fr-CA"/>
        </w:rPr>
        <w:t>Si la surface de mesure n</w:t>
      </w:r>
      <w:r w:rsidR="00175CDA">
        <w:rPr>
          <w:lang w:val="fr-CA"/>
        </w:rPr>
        <w:t>’</w:t>
      </w:r>
      <w:r w:rsidRPr="00DE27AC">
        <w:rPr>
          <w:lang w:val="fr-CA"/>
        </w:rPr>
        <w:t>est pas suffisamment pla</w:t>
      </w:r>
      <w:r w:rsidR="007C3B4D">
        <w:rPr>
          <w:lang w:val="fr-CA"/>
        </w:rPr>
        <w:t>ne</w:t>
      </w:r>
      <w:r w:rsidRPr="00DE27AC">
        <w:rPr>
          <w:lang w:val="fr-CA"/>
        </w:rPr>
        <w:t>, il ne sera pas possible d</w:t>
      </w:r>
      <w:r w:rsidR="00175CDA">
        <w:rPr>
          <w:lang w:val="fr-CA"/>
        </w:rPr>
        <w:t>’</w:t>
      </w:r>
      <w:r w:rsidRPr="00DE27AC">
        <w:rPr>
          <w:lang w:val="fr-CA"/>
        </w:rPr>
        <w:t>effectuer une mesure fiable. Dans ce cas, une section différente de la surface d</w:t>
      </w:r>
      <w:r w:rsidR="00A867E9">
        <w:rPr>
          <w:lang w:val="fr-CA"/>
        </w:rPr>
        <w:t>evrai</w:t>
      </w:r>
      <w:r w:rsidRPr="00DE27AC">
        <w:rPr>
          <w:lang w:val="fr-CA"/>
        </w:rPr>
        <w:t>t être mesurée ou un échantillon différent d</w:t>
      </w:r>
      <w:r w:rsidR="001C116A">
        <w:rPr>
          <w:lang w:val="fr-CA"/>
        </w:rPr>
        <w:t>evrai</w:t>
      </w:r>
      <w:r w:rsidRPr="00DE27AC">
        <w:rPr>
          <w:lang w:val="fr-CA"/>
        </w:rPr>
        <w:t>t être sélectionné qui respecte le critère de platitude.</w:t>
      </w:r>
    </w:p>
    <w:p w14:paraId="38E376EB" w14:textId="52F092FC" w:rsidR="0072751D" w:rsidRPr="00DE27AC" w:rsidRDefault="0072751D" w:rsidP="0072751D">
      <w:pPr>
        <w:rPr>
          <w:lang w:val="fr-CA"/>
        </w:rPr>
      </w:pPr>
      <w:r w:rsidRPr="00DE27AC">
        <w:rPr>
          <w:lang w:val="fr-CA"/>
        </w:rPr>
        <w:t>La surface de mesure d</w:t>
      </w:r>
      <w:r w:rsidR="00217F86">
        <w:rPr>
          <w:lang w:val="fr-CA"/>
        </w:rPr>
        <w:t>evrait</w:t>
      </w:r>
      <w:r w:rsidRPr="00DE27AC">
        <w:rPr>
          <w:lang w:val="fr-CA"/>
        </w:rPr>
        <w:t xml:space="preserve"> être rejetée si l</w:t>
      </w:r>
      <w:r w:rsidR="00175CDA">
        <w:rPr>
          <w:lang w:val="fr-CA"/>
        </w:rPr>
        <w:t>’</w:t>
      </w:r>
      <w:r w:rsidRPr="00DE27AC">
        <w:rPr>
          <w:lang w:val="fr-CA"/>
        </w:rPr>
        <w:t>écart par rapport à une ligne droite sur la longueur de la surface dépasse 2</w:t>
      </w:r>
      <w:r w:rsidR="00CD483E">
        <w:rPr>
          <w:lang w:val="fr-CA"/>
        </w:rPr>
        <w:t>.</w:t>
      </w:r>
      <w:r w:rsidRPr="00DE27AC">
        <w:rPr>
          <w:lang w:val="fr-CA"/>
        </w:rPr>
        <w:t>0</w:t>
      </w:r>
      <w:r w:rsidR="003B2C52">
        <w:rPr>
          <w:lang w:val="fr-CA"/>
        </w:rPr>
        <w:t> </w:t>
      </w:r>
      <w:r w:rsidRPr="00DE27AC">
        <w:rPr>
          <w:lang w:val="fr-CA"/>
        </w:rPr>
        <w:t>mm (concave ou convexe) ou si l</w:t>
      </w:r>
      <w:r w:rsidR="00175CDA">
        <w:rPr>
          <w:lang w:val="fr-CA"/>
        </w:rPr>
        <w:t>’</w:t>
      </w:r>
      <w:r w:rsidRPr="00DE27AC">
        <w:rPr>
          <w:lang w:val="fr-CA"/>
        </w:rPr>
        <w:t>écart par rapport à une ligne droite sur la largeur de la surface dépasse 0</w:t>
      </w:r>
      <w:r w:rsidR="00CD483E">
        <w:rPr>
          <w:lang w:val="fr-CA"/>
        </w:rPr>
        <w:t>.</w:t>
      </w:r>
      <w:r w:rsidRPr="00DE27AC">
        <w:rPr>
          <w:lang w:val="fr-CA"/>
        </w:rPr>
        <w:t>5</w:t>
      </w:r>
      <w:r w:rsidR="003B2C52">
        <w:rPr>
          <w:lang w:val="fr-CA"/>
        </w:rPr>
        <w:t> </w:t>
      </w:r>
      <w:proofErr w:type="spellStart"/>
      <w:r w:rsidRPr="00DE27AC">
        <w:rPr>
          <w:lang w:val="fr-CA"/>
        </w:rPr>
        <w:t>mm.</w:t>
      </w:r>
      <w:proofErr w:type="spellEnd"/>
      <w:r w:rsidRPr="00DE27AC">
        <w:rPr>
          <w:lang w:val="fr-CA"/>
        </w:rPr>
        <w:t xml:space="preserve"> Celle-ci </w:t>
      </w:r>
      <w:r w:rsidR="00930159">
        <w:rPr>
          <w:lang w:val="fr-CA"/>
        </w:rPr>
        <w:t>devrai</w:t>
      </w:r>
      <w:r w:rsidRPr="00DE27AC">
        <w:rPr>
          <w:lang w:val="fr-CA"/>
        </w:rPr>
        <w:t>t être vérifiée au centre de la surface de mesure avec l</w:t>
      </w:r>
      <w:r w:rsidR="00175CDA">
        <w:rPr>
          <w:lang w:val="fr-CA"/>
        </w:rPr>
        <w:t>’</w:t>
      </w:r>
      <w:r w:rsidRPr="00DE27AC">
        <w:rPr>
          <w:lang w:val="fr-CA"/>
        </w:rPr>
        <w:t>aide de bords droits et d</w:t>
      </w:r>
      <w:r w:rsidR="00175CDA">
        <w:rPr>
          <w:lang w:val="fr-CA"/>
        </w:rPr>
        <w:t>’</w:t>
      </w:r>
      <w:r w:rsidRPr="00DE27AC">
        <w:rPr>
          <w:lang w:val="fr-CA"/>
        </w:rPr>
        <w:t>un calibre de fellation réglé sur la longueur (135</w:t>
      </w:r>
      <w:r w:rsidR="003B2C52">
        <w:rPr>
          <w:lang w:val="fr-CA"/>
        </w:rPr>
        <w:t> </w:t>
      </w:r>
      <w:r w:rsidRPr="00DE27AC">
        <w:rPr>
          <w:lang w:val="fr-CA"/>
        </w:rPr>
        <w:t>mm) ou la largeur appropriées (80</w:t>
      </w:r>
      <w:r w:rsidR="003B2C52">
        <w:rPr>
          <w:lang w:val="fr-CA"/>
        </w:rPr>
        <w:t> </w:t>
      </w:r>
      <w:r w:rsidRPr="00DE27AC">
        <w:rPr>
          <w:lang w:val="fr-CA"/>
        </w:rPr>
        <w:t>mm).</w:t>
      </w:r>
    </w:p>
    <w:p w14:paraId="0955E745" w14:textId="5683398B" w:rsidR="0072751D" w:rsidRPr="00877353" w:rsidRDefault="0072751D" w:rsidP="0072751D">
      <w:pPr>
        <w:rPr>
          <w:lang w:val="fr-CA"/>
        </w:rPr>
      </w:pPr>
      <w:r w:rsidRPr="00877353">
        <w:rPr>
          <w:lang w:val="fr-CA"/>
        </w:rPr>
        <w:t xml:space="preserve">C.6.10 Sur les surfaces profilées, les valeurs </w:t>
      </w:r>
      <w:proofErr w:type="spellStart"/>
      <w:r w:rsidR="00E02ED5">
        <w:rPr>
          <w:lang w:val="fr-CA"/>
        </w:rPr>
        <w:t>Pendulum</w:t>
      </w:r>
      <w:proofErr w:type="spellEnd"/>
      <w:r w:rsidR="00E02ED5">
        <w:rPr>
          <w:lang w:val="fr-CA"/>
        </w:rPr>
        <w:t xml:space="preserve"> Test Value</w:t>
      </w:r>
      <w:r w:rsidRPr="00877353">
        <w:rPr>
          <w:lang w:val="fr-CA"/>
        </w:rPr>
        <w:t xml:space="preserve"> </w:t>
      </w:r>
      <w:r w:rsidR="000718AB">
        <w:rPr>
          <w:lang w:val="fr-CA"/>
        </w:rPr>
        <w:t>(</w:t>
      </w:r>
      <w:r w:rsidRPr="00877353">
        <w:rPr>
          <w:lang w:val="fr-CA"/>
        </w:rPr>
        <w:t>PTV</w:t>
      </w:r>
      <w:r w:rsidR="000718AB">
        <w:rPr>
          <w:lang w:val="fr-CA"/>
        </w:rPr>
        <w:t xml:space="preserve">) – en anglais seulement – </w:t>
      </w:r>
      <w:r w:rsidRPr="00877353">
        <w:rPr>
          <w:lang w:val="fr-CA"/>
        </w:rPr>
        <w:t>dépendent souvent de l</w:t>
      </w:r>
      <w:r w:rsidR="00175CDA">
        <w:rPr>
          <w:lang w:val="fr-CA"/>
        </w:rPr>
        <w:t>’</w:t>
      </w:r>
      <w:r w:rsidRPr="00877353">
        <w:rPr>
          <w:lang w:val="fr-CA"/>
        </w:rPr>
        <w:t>angle entre la direction d</w:t>
      </w:r>
      <w:r w:rsidR="00127540">
        <w:rPr>
          <w:lang w:val="fr-CA"/>
        </w:rPr>
        <w:t>e l’essai</w:t>
      </w:r>
      <w:r w:rsidRPr="00877353">
        <w:rPr>
          <w:lang w:val="fr-CA"/>
        </w:rPr>
        <w:t xml:space="preserve"> et celle de l</w:t>
      </w:r>
      <w:r w:rsidR="00175CDA">
        <w:rPr>
          <w:lang w:val="fr-CA"/>
        </w:rPr>
        <w:t>’</w:t>
      </w:r>
      <w:r w:rsidRPr="00877353">
        <w:rPr>
          <w:lang w:val="fr-CA"/>
        </w:rPr>
        <w:t>axe principal du profil, et plusieurs essais à différents angles peuvent être nécessaires pour déterminer la résistance au glissement minimale offerte par cette surface. Lors du réglage de la longueur de mesure de 124</w:t>
      </w:r>
      <w:r w:rsidR="003B2C52">
        <w:rPr>
          <w:lang w:val="fr-CA"/>
        </w:rPr>
        <w:t> </w:t>
      </w:r>
      <w:r w:rsidRPr="00877353">
        <w:rPr>
          <w:lang w:val="fr-CA"/>
        </w:rPr>
        <w:t xml:space="preserve">mm, il est important que le curseur commence en haut du profil − cela peut signifier </w:t>
      </w:r>
      <w:r w:rsidR="009B142E">
        <w:rPr>
          <w:lang w:val="fr-CA"/>
        </w:rPr>
        <w:t xml:space="preserve">de </w:t>
      </w:r>
      <w:r w:rsidRPr="00877353">
        <w:rPr>
          <w:lang w:val="fr-CA"/>
        </w:rPr>
        <w:t>déplacer l</w:t>
      </w:r>
      <w:r w:rsidR="00175CDA">
        <w:rPr>
          <w:lang w:val="fr-CA"/>
        </w:rPr>
        <w:t>’</w:t>
      </w:r>
      <w:r w:rsidRPr="00877353">
        <w:rPr>
          <w:lang w:val="fr-CA"/>
        </w:rPr>
        <w:t>instrument.</w:t>
      </w:r>
    </w:p>
    <w:p w14:paraId="7A0A63DC" w14:textId="3EC8EC02" w:rsidR="0072751D" w:rsidRPr="006049A1" w:rsidRDefault="0072751D" w:rsidP="0072751D">
      <w:pPr>
        <w:rPr>
          <w:lang w:val="fr-CA"/>
        </w:rPr>
      </w:pPr>
      <w:r w:rsidRPr="006049A1">
        <w:rPr>
          <w:lang w:val="fr-CA"/>
        </w:rPr>
        <w:t>(C.6 traite spécifiquement de la réalisation de mesures sur place, plutôt qu</w:t>
      </w:r>
      <w:r w:rsidR="00175CDA">
        <w:rPr>
          <w:lang w:val="fr-CA"/>
        </w:rPr>
        <w:t>’</w:t>
      </w:r>
      <w:r w:rsidRPr="006049A1">
        <w:rPr>
          <w:lang w:val="fr-CA"/>
        </w:rPr>
        <w:t>en laboratoire.)</w:t>
      </w:r>
    </w:p>
    <w:p w14:paraId="7BA5E229" w14:textId="283C74F3" w:rsidR="0072751D" w:rsidRPr="006049A1" w:rsidRDefault="0072751D" w:rsidP="0072751D">
      <w:pPr>
        <w:rPr>
          <w:lang w:val="fr-CA"/>
        </w:rPr>
      </w:pPr>
      <w:r w:rsidRPr="006049A1">
        <w:rPr>
          <w:lang w:val="fr-CA"/>
        </w:rPr>
        <w:t>Considérations supplémentaires</w:t>
      </w:r>
      <w:r w:rsidR="004A0CDA">
        <w:rPr>
          <w:lang w:val="fr-CA"/>
        </w:rPr>
        <w:t> </w:t>
      </w:r>
      <w:r w:rsidRPr="006049A1">
        <w:rPr>
          <w:lang w:val="fr-CA"/>
        </w:rPr>
        <w:t>: Les experts considèrent également que les normes australiennes suivantes sont utiles</w:t>
      </w:r>
      <w:r w:rsidR="004A0CDA">
        <w:rPr>
          <w:lang w:val="fr-CA"/>
        </w:rPr>
        <w:t> </w:t>
      </w:r>
      <w:r w:rsidRPr="006049A1">
        <w:rPr>
          <w:lang w:val="fr-CA"/>
        </w:rPr>
        <w:t>:</w:t>
      </w:r>
    </w:p>
    <w:p w14:paraId="53A0FB50" w14:textId="77777777" w:rsidR="004C57D6" w:rsidRDefault="0072751D" w:rsidP="003F66F0">
      <w:pPr>
        <w:pStyle w:val="ListParagraph"/>
        <w:numPr>
          <w:ilvl w:val="0"/>
          <w:numId w:val="82"/>
        </w:numPr>
        <w:rPr>
          <w:lang w:val="fr-CA"/>
        </w:rPr>
      </w:pPr>
      <w:r w:rsidRPr="00450733">
        <w:rPr>
          <w:lang w:val="fr-CA"/>
        </w:rPr>
        <w:t xml:space="preserve">AS 4586:2013 </w:t>
      </w:r>
      <w:r w:rsidR="00B714CF" w:rsidRPr="00450733">
        <w:rPr>
          <w:lang w:val="fr-CA"/>
        </w:rPr>
        <w:t>Slip Resistance Classification of New Pedestrian Surface Materials (en anglais seulement)</w:t>
      </w:r>
    </w:p>
    <w:p w14:paraId="6FF81DBA" w14:textId="34CF2C7B" w:rsidR="0072751D" w:rsidRPr="004C57D6" w:rsidRDefault="0072751D" w:rsidP="003F66F0">
      <w:pPr>
        <w:pStyle w:val="ListParagraph"/>
        <w:numPr>
          <w:ilvl w:val="0"/>
          <w:numId w:val="82"/>
        </w:numPr>
        <w:rPr>
          <w:lang w:val="fr-CA"/>
        </w:rPr>
      </w:pPr>
      <w:r w:rsidRPr="004C57D6">
        <w:rPr>
          <w:lang w:val="fr-CA"/>
        </w:rPr>
        <w:t>AS 4586</w:t>
      </w:r>
      <w:r w:rsidR="003B2C52">
        <w:rPr>
          <w:lang w:val="fr-CA"/>
        </w:rPr>
        <w:t> </w:t>
      </w:r>
      <w:r w:rsidRPr="004C57D6">
        <w:rPr>
          <w:lang w:val="fr-CA"/>
        </w:rPr>
        <w:t>précise les exigences et méthodes pour la classification de la résistance au glissement dans les nouveaux matériaux de surface piétonniers. Les méthodes d</w:t>
      </w:r>
      <w:r w:rsidR="00175CDA">
        <w:rPr>
          <w:lang w:val="fr-CA"/>
        </w:rPr>
        <w:t>’</w:t>
      </w:r>
      <w:r w:rsidRPr="004C57D6">
        <w:rPr>
          <w:lang w:val="fr-CA"/>
        </w:rPr>
        <w:t xml:space="preserve">essai pertinentes à </w:t>
      </w:r>
      <w:r w:rsidR="00042293" w:rsidRPr="004C57D6">
        <w:rPr>
          <w:lang w:val="fr-CA"/>
        </w:rPr>
        <w:t>la présente</w:t>
      </w:r>
      <w:r w:rsidRPr="004C57D6">
        <w:rPr>
          <w:lang w:val="fr-CA"/>
        </w:rPr>
        <w:t xml:space="preserve"> norme incluent</w:t>
      </w:r>
      <w:r w:rsidR="004A0CDA">
        <w:rPr>
          <w:lang w:val="fr-CA"/>
        </w:rPr>
        <w:t> </w:t>
      </w:r>
      <w:r w:rsidRPr="004C57D6">
        <w:rPr>
          <w:lang w:val="fr-CA"/>
        </w:rPr>
        <w:t>:</w:t>
      </w:r>
    </w:p>
    <w:p w14:paraId="1C9967CD" w14:textId="77D7114A" w:rsidR="0072751D" w:rsidRPr="00796FAB" w:rsidRDefault="00503951" w:rsidP="003F66F0">
      <w:pPr>
        <w:pStyle w:val="ListParagraph"/>
        <w:numPr>
          <w:ilvl w:val="1"/>
          <w:numId w:val="82"/>
        </w:numPr>
        <w:rPr>
          <w:lang w:val="fr-CA"/>
        </w:rPr>
      </w:pPr>
      <w:r w:rsidRPr="00796FAB">
        <w:rPr>
          <w:lang w:val="fr-CA"/>
        </w:rPr>
        <w:lastRenderedPageBreak/>
        <w:t>Essai</w:t>
      </w:r>
      <w:r w:rsidR="0072751D" w:rsidRPr="00796FAB">
        <w:rPr>
          <w:lang w:val="fr-CA"/>
        </w:rPr>
        <w:t xml:space="preserve"> du pendule </w:t>
      </w:r>
      <w:r w:rsidR="00B714CF" w:rsidRPr="00796FAB">
        <w:rPr>
          <w:lang w:val="fr-CA"/>
        </w:rPr>
        <w:t>mouill</w:t>
      </w:r>
      <w:r w:rsidR="00B714CF" w:rsidRPr="00796FAB">
        <w:rPr>
          <w:rFonts w:cs="Arial"/>
          <w:lang w:val="fr-CA"/>
        </w:rPr>
        <w:t>é</w:t>
      </w:r>
    </w:p>
    <w:p w14:paraId="442FE76F" w14:textId="6BFC8145" w:rsidR="0072751D" w:rsidRPr="00796FAB" w:rsidRDefault="00F969B3" w:rsidP="003F66F0">
      <w:pPr>
        <w:pStyle w:val="ListParagraph"/>
        <w:numPr>
          <w:ilvl w:val="1"/>
          <w:numId w:val="82"/>
        </w:numPr>
        <w:rPr>
          <w:lang w:val="fr-CA"/>
        </w:rPr>
      </w:pPr>
      <w:r w:rsidRPr="00796FAB">
        <w:rPr>
          <w:lang w:val="fr-CA"/>
        </w:rPr>
        <w:t>Essai</w:t>
      </w:r>
      <w:r w:rsidR="0072751D" w:rsidRPr="00796FAB">
        <w:rPr>
          <w:lang w:val="fr-CA"/>
        </w:rPr>
        <w:t xml:space="preserve"> de frottement du plancher sec</w:t>
      </w:r>
    </w:p>
    <w:p w14:paraId="7CCE5D7E" w14:textId="2D2470DF" w:rsidR="0072751D" w:rsidRPr="00796FAB" w:rsidRDefault="00F969B3" w:rsidP="003F66F0">
      <w:pPr>
        <w:pStyle w:val="ListParagraph"/>
        <w:numPr>
          <w:ilvl w:val="1"/>
          <w:numId w:val="82"/>
        </w:numPr>
        <w:rPr>
          <w:lang w:val="fr-CA"/>
        </w:rPr>
      </w:pPr>
      <w:r w:rsidRPr="00796FAB">
        <w:rPr>
          <w:lang w:val="fr-CA"/>
        </w:rPr>
        <w:t>Essai</w:t>
      </w:r>
      <w:r w:rsidR="0072751D" w:rsidRPr="00796FAB">
        <w:rPr>
          <w:lang w:val="fr-CA"/>
        </w:rPr>
        <w:t xml:space="preserve"> de plateforme inclinée pieds nus mouillé</w:t>
      </w:r>
    </w:p>
    <w:p w14:paraId="13E5B89E" w14:textId="600CA1D0" w:rsidR="0072751D" w:rsidRPr="00796FAB" w:rsidRDefault="00F969B3" w:rsidP="003F66F0">
      <w:pPr>
        <w:pStyle w:val="ListParagraph"/>
        <w:numPr>
          <w:ilvl w:val="1"/>
          <w:numId w:val="82"/>
        </w:numPr>
        <w:rPr>
          <w:lang w:val="fr-CA"/>
        </w:rPr>
      </w:pPr>
      <w:r w:rsidRPr="00796FAB">
        <w:rPr>
          <w:lang w:val="fr-CA"/>
        </w:rPr>
        <w:t>Essai</w:t>
      </w:r>
      <w:r w:rsidR="0072751D" w:rsidRPr="00796FAB">
        <w:rPr>
          <w:lang w:val="fr-CA"/>
        </w:rPr>
        <w:t xml:space="preserve"> de plateforme inclinée </w:t>
      </w:r>
      <w:r w:rsidRPr="00796FAB">
        <w:rPr>
          <w:lang w:val="fr-CA"/>
        </w:rPr>
        <w:t xml:space="preserve">mouillée </w:t>
      </w:r>
      <w:r w:rsidR="0072751D" w:rsidRPr="00796FAB">
        <w:rPr>
          <w:lang w:val="fr-CA"/>
        </w:rPr>
        <w:t>d</w:t>
      </w:r>
      <w:r w:rsidR="00175CDA">
        <w:rPr>
          <w:lang w:val="fr-CA"/>
        </w:rPr>
        <w:t>’</w:t>
      </w:r>
      <w:r w:rsidR="0072751D" w:rsidRPr="00796FAB">
        <w:rPr>
          <w:lang w:val="fr-CA"/>
        </w:rPr>
        <w:t>huile</w:t>
      </w:r>
    </w:p>
    <w:p w14:paraId="48C964A8" w14:textId="77777777" w:rsidR="00015874" w:rsidRDefault="0072751D" w:rsidP="003F66F0">
      <w:pPr>
        <w:pStyle w:val="ListParagraph"/>
        <w:numPr>
          <w:ilvl w:val="0"/>
          <w:numId w:val="82"/>
        </w:numPr>
        <w:rPr>
          <w:lang w:val="fr-CA"/>
        </w:rPr>
      </w:pPr>
      <w:r w:rsidRPr="001C0BF3">
        <w:rPr>
          <w:lang w:val="fr-CA"/>
        </w:rPr>
        <w:t xml:space="preserve">AS 4663:2013 - </w:t>
      </w:r>
      <w:r w:rsidR="00A523D5" w:rsidRPr="001C0BF3">
        <w:rPr>
          <w:lang w:val="fr-CA"/>
        </w:rPr>
        <w:t xml:space="preserve">Slip Resistance </w:t>
      </w:r>
      <w:proofErr w:type="spellStart"/>
      <w:r w:rsidR="00A523D5" w:rsidRPr="001C0BF3">
        <w:rPr>
          <w:lang w:val="fr-CA"/>
        </w:rPr>
        <w:t>Measurement</w:t>
      </w:r>
      <w:proofErr w:type="spellEnd"/>
      <w:r w:rsidR="00A523D5" w:rsidRPr="001C0BF3">
        <w:rPr>
          <w:lang w:val="fr-CA"/>
        </w:rPr>
        <w:t xml:space="preserve"> of </w:t>
      </w:r>
      <w:proofErr w:type="spellStart"/>
      <w:r w:rsidR="00A523D5" w:rsidRPr="001C0BF3">
        <w:rPr>
          <w:lang w:val="fr-CA"/>
        </w:rPr>
        <w:t>Existing</w:t>
      </w:r>
      <w:proofErr w:type="spellEnd"/>
      <w:r w:rsidR="00A523D5" w:rsidRPr="001C0BF3">
        <w:rPr>
          <w:lang w:val="fr-CA"/>
        </w:rPr>
        <w:t xml:space="preserve"> Pedestrian Surfaces (en anglais seulement)</w:t>
      </w:r>
    </w:p>
    <w:p w14:paraId="5CFA8522" w14:textId="0740E4B5" w:rsidR="0072751D" w:rsidRPr="00015874" w:rsidRDefault="0072751D" w:rsidP="003F66F0">
      <w:pPr>
        <w:pStyle w:val="ListParagraph"/>
        <w:numPr>
          <w:ilvl w:val="0"/>
          <w:numId w:val="82"/>
        </w:numPr>
        <w:rPr>
          <w:lang w:val="fr-CA"/>
        </w:rPr>
      </w:pPr>
      <w:r w:rsidRPr="00015874">
        <w:rPr>
          <w:lang w:val="fr-CA"/>
        </w:rPr>
        <w:t>AS 4663:2013 précise les exigences et méthodes pour mesurer la résistance au glissement des surfaces piétonnes existantes. Les méthodes d</w:t>
      </w:r>
      <w:r w:rsidR="00175CDA">
        <w:rPr>
          <w:lang w:val="fr-CA"/>
        </w:rPr>
        <w:t>’</w:t>
      </w:r>
      <w:r w:rsidRPr="00015874">
        <w:rPr>
          <w:lang w:val="fr-CA"/>
        </w:rPr>
        <w:t xml:space="preserve">essai pertinentes à </w:t>
      </w:r>
      <w:r w:rsidR="00734CA6" w:rsidRPr="00015874">
        <w:rPr>
          <w:lang w:val="fr-CA"/>
        </w:rPr>
        <w:t xml:space="preserve">la présente </w:t>
      </w:r>
      <w:r w:rsidRPr="00015874">
        <w:rPr>
          <w:lang w:val="fr-CA"/>
        </w:rPr>
        <w:t>norme incluent</w:t>
      </w:r>
      <w:r w:rsidR="004A0CDA">
        <w:rPr>
          <w:lang w:val="fr-CA"/>
        </w:rPr>
        <w:t> </w:t>
      </w:r>
      <w:r w:rsidRPr="00015874">
        <w:rPr>
          <w:lang w:val="fr-CA"/>
        </w:rPr>
        <w:t>:</w:t>
      </w:r>
    </w:p>
    <w:p w14:paraId="11D25148" w14:textId="6A0AF36D" w:rsidR="0072751D" w:rsidRPr="00456831" w:rsidRDefault="00B07B5C" w:rsidP="003F66F0">
      <w:pPr>
        <w:pStyle w:val="ListParagraph"/>
        <w:numPr>
          <w:ilvl w:val="1"/>
          <w:numId w:val="82"/>
        </w:numPr>
        <w:rPr>
          <w:lang w:val="fr-CA"/>
        </w:rPr>
      </w:pPr>
      <w:r w:rsidRPr="00456831">
        <w:rPr>
          <w:lang w:val="fr-CA"/>
        </w:rPr>
        <w:t>Essai</w:t>
      </w:r>
      <w:r w:rsidR="0072751D" w:rsidRPr="00456831">
        <w:rPr>
          <w:lang w:val="fr-CA"/>
        </w:rPr>
        <w:t xml:space="preserve"> du pendule </w:t>
      </w:r>
      <w:r w:rsidRPr="00456831">
        <w:rPr>
          <w:lang w:val="fr-CA"/>
        </w:rPr>
        <w:t>mouill</w:t>
      </w:r>
      <w:r w:rsidRPr="00456831">
        <w:rPr>
          <w:rFonts w:cs="Arial"/>
          <w:lang w:val="fr-CA"/>
        </w:rPr>
        <w:t>é</w:t>
      </w:r>
    </w:p>
    <w:p w14:paraId="4C84E829" w14:textId="0E9F3B3A" w:rsidR="0072751D" w:rsidRPr="00456831" w:rsidRDefault="00B07B5C" w:rsidP="003F66F0">
      <w:pPr>
        <w:pStyle w:val="ListParagraph"/>
        <w:numPr>
          <w:ilvl w:val="1"/>
          <w:numId w:val="82"/>
        </w:numPr>
        <w:rPr>
          <w:lang w:val="fr-CA"/>
        </w:rPr>
      </w:pPr>
      <w:r w:rsidRPr="00456831">
        <w:rPr>
          <w:lang w:val="fr-CA"/>
        </w:rPr>
        <w:t>Essai</w:t>
      </w:r>
      <w:r w:rsidR="0072751D" w:rsidRPr="00456831">
        <w:rPr>
          <w:lang w:val="fr-CA"/>
        </w:rPr>
        <w:t xml:space="preserve"> de frottement du plancher sec</w:t>
      </w:r>
    </w:p>
    <w:p w14:paraId="3AC40A13" w14:textId="15F2ED75" w:rsidR="0072751D" w:rsidRPr="00456831" w:rsidRDefault="0072751D" w:rsidP="003F66F0">
      <w:pPr>
        <w:pStyle w:val="ListParagraph"/>
        <w:numPr>
          <w:ilvl w:val="0"/>
          <w:numId w:val="82"/>
        </w:numPr>
        <w:rPr>
          <w:lang w:val="fr-CA"/>
        </w:rPr>
      </w:pPr>
      <w:r w:rsidRPr="00456831">
        <w:rPr>
          <w:lang w:val="fr-CA"/>
        </w:rPr>
        <w:t>AS 4586:2013 et AS 4663:2013 incluent une définition des surfaces profilées</w:t>
      </w:r>
      <w:r w:rsidR="004A0CDA">
        <w:rPr>
          <w:lang w:val="fr-CA"/>
        </w:rPr>
        <w:t> </w:t>
      </w:r>
      <w:r w:rsidRPr="00456831">
        <w:rPr>
          <w:lang w:val="fr-CA"/>
        </w:rPr>
        <w:t xml:space="preserve">: </w:t>
      </w:r>
      <w:r w:rsidR="00303E40" w:rsidRPr="00456831">
        <w:rPr>
          <w:lang w:val="fr-CA"/>
        </w:rPr>
        <w:t>U</w:t>
      </w:r>
      <w:r w:rsidRPr="00456831">
        <w:rPr>
          <w:lang w:val="fr-CA"/>
        </w:rPr>
        <w:t>ne surface avec un motif géométrique en relief conçu qui fournit un déplacement volumétrique et spécifie la direction d</w:t>
      </w:r>
      <w:r w:rsidR="00CB058C" w:rsidRPr="00456831">
        <w:rPr>
          <w:lang w:val="fr-CA"/>
        </w:rPr>
        <w:t>’essai</w:t>
      </w:r>
      <w:r w:rsidRPr="00456831">
        <w:rPr>
          <w:lang w:val="fr-CA"/>
        </w:rPr>
        <w:t xml:space="preserve"> pour nos deux types d</w:t>
      </w:r>
      <w:r w:rsidR="00175CDA">
        <w:rPr>
          <w:lang w:val="fr-CA"/>
        </w:rPr>
        <w:t>’</w:t>
      </w:r>
      <w:r w:rsidRPr="00456831">
        <w:rPr>
          <w:lang w:val="fr-CA"/>
        </w:rPr>
        <w:t>indicateurs.</w:t>
      </w:r>
    </w:p>
    <w:p w14:paraId="0DC347C8" w14:textId="22518C9F" w:rsidR="0072751D" w:rsidRPr="003E4D97" w:rsidRDefault="0072751D" w:rsidP="0072751D">
      <w:r w:rsidRPr="003E4D97">
        <w:t xml:space="preserve">Pour plus </w:t>
      </w:r>
      <w:proofErr w:type="spellStart"/>
      <w:r w:rsidRPr="003E4D97">
        <w:t>d</w:t>
      </w:r>
      <w:r w:rsidR="00175CDA" w:rsidRPr="003E4D97">
        <w:t>’</w:t>
      </w:r>
      <w:r w:rsidRPr="003E4D97">
        <w:t>informations</w:t>
      </w:r>
      <w:proofErr w:type="spellEnd"/>
      <w:r w:rsidRPr="003E4D97">
        <w:t xml:space="preserve">, </w:t>
      </w:r>
      <w:proofErr w:type="gramStart"/>
      <w:r w:rsidRPr="003E4D97">
        <w:t>voir</w:t>
      </w:r>
      <w:r w:rsidR="004A0CDA">
        <w:t> </w:t>
      </w:r>
      <w:r w:rsidRPr="003E4D97">
        <w:t>:</w:t>
      </w:r>
      <w:proofErr w:type="gramEnd"/>
    </w:p>
    <w:p w14:paraId="54896D1E" w14:textId="6040B485" w:rsidR="00A47CD5" w:rsidRPr="00945B80" w:rsidRDefault="0072751D" w:rsidP="0072751D">
      <w:pPr>
        <w:rPr>
          <w:lang w:val="fr-CA"/>
        </w:rPr>
      </w:pPr>
      <w:r w:rsidRPr="003E4D97">
        <w:t>Australian Building Codes Board</w:t>
      </w:r>
      <w:r w:rsidR="00E86903" w:rsidRPr="003E4D97">
        <w:t xml:space="preserve">. </w:t>
      </w:r>
      <w:r w:rsidR="00E86903">
        <w:t xml:space="preserve">2020. </w:t>
      </w:r>
      <w:r w:rsidR="00B441CF" w:rsidRPr="00A47CD5">
        <w:t>Slip-resistance for stairways, landings and ramps, Advisory Not</w:t>
      </w:r>
      <w:r w:rsidR="00E86903">
        <w:t>e.</w:t>
      </w:r>
      <w:r w:rsidR="00937886">
        <w:t xml:space="preserve"> </w:t>
      </w:r>
      <w:r w:rsidR="00937886" w:rsidRPr="00CE5EBB">
        <w:rPr>
          <w:lang w:val="fr-CA"/>
        </w:rPr>
        <w:t>(</w:t>
      </w:r>
      <w:proofErr w:type="gramStart"/>
      <w:r w:rsidR="00937886" w:rsidRPr="00CE5EBB">
        <w:rPr>
          <w:lang w:val="fr-CA"/>
        </w:rPr>
        <w:t>e</w:t>
      </w:r>
      <w:r w:rsidR="00B441CF" w:rsidRPr="00945B80">
        <w:rPr>
          <w:lang w:val="fr-CA"/>
        </w:rPr>
        <w:t>n</w:t>
      </w:r>
      <w:proofErr w:type="gramEnd"/>
      <w:r w:rsidR="00B441CF" w:rsidRPr="00945B80">
        <w:rPr>
          <w:lang w:val="fr-CA"/>
        </w:rPr>
        <w:t xml:space="preserve"> anglais seulement)</w:t>
      </w:r>
    </w:p>
    <w:p w14:paraId="3B3A203C" w14:textId="6D89A4F0" w:rsidR="0072751D" w:rsidRPr="00945B80" w:rsidRDefault="00342840" w:rsidP="0072751D">
      <w:pPr>
        <w:rPr>
          <w:rStyle w:val="Hyperlink"/>
          <w:color w:val="auto"/>
          <w:u w:val="none"/>
          <w:lang w:val="fr-CA"/>
        </w:rPr>
      </w:pPr>
      <w:r>
        <w:fldChar w:fldCharType="begin"/>
      </w:r>
      <w:r w:rsidRPr="00945B80">
        <w:rPr>
          <w:lang w:val="fr-CA"/>
        </w:rPr>
        <w:instrText>HYPERLINK "https://www.abcb.gov.au/sites/default/files/resources/2020/Advisory-Note-Slip-Resistance.pdf"</w:instrText>
      </w:r>
      <w:r>
        <w:fldChar w:fldCharType="separate"/>
      </w:r>
      <w:r w:rsidR="0072751D" w:rsidRPr="00945B80">
        <w:rPr>
          <w:rStyle w:val="Hyperlink"/>
          <w:lang w:val="fr-CA"/>
        </w:rPr>
        <w:t>https://www.abcb.gov.au/sites/default/files/resources/2020/Advisory-Note-Slip-Resistance.pdf</w:t>
      </w:r>
    </w:p>
    <w:p w14:paraId="3FFDE933" w14:textId="551DE984" w:rsidR="00A47CD5" w:rsidRPr="00945B80" w:rsidRDefault="00342840" w:rsidP="00A47CD5">
      <w:pPr>
        <w:rPr>
          <w:lang w:val="fr-CA"/>
        </w:rPr>
      </w:pPr>
      <w:r>
        <w:fldChar w:fldCharType="end"/>
      </w:r>
      <w:r w:rsidR="00A47CD5" w:rsidRPr="00945B80">
        <w:rPr>
          <w:lang w:val="fr-CA"/>
        </w:rPr>
        <w:t xml:space="preserve"> </w:t>
      </w:r>
    </w:p>
    <w:p w14:paraId="435FCF5F" w14:textId="3F06EC87" w:rsidR="00CA1E0D" w:rsidRPr="00945B80" w:rsidRDefault="00832DF7" w:rsidP="00832DF7">
      <w:pPr>
        <w:keepLines w:val="0"/>
        <w:spacing w:before="0" w:beforeAutospacing="0" w:line="259" w:lineRule="auto"/>
        <w:rPr>
          <w:lang w:val="fr-CA"/>
        </w:rPr>
      </w:pPr>
      <w:r w:rsidRPr="00945B80">
        <w:rPr>
          <w:lang w:val="fr-CA"/>
        </w:rPr>
        <w:br w:type="page"/>
      </w:r>
    </w:p>
    <w:p w14:paraId="3688B2B1" w14:textId="41BEE0F7" w:rsidR="00370C28" w:rsidRPr="00F63B64" w:rsidRDefault="00D35876" w:rsidP="000F03A2">
      <w:pPr>
        <w:pStyle w:val="Heading1"/>
        <w:rPr>
          <w:lang w:val="fr-CA"/>
        </w:rPr>
      </w:pPr>
      <w:bookmarkStart w:id="690" w:name="_Toc219706265"/>
      <w:r w:rsidRPr="00F63B64">
        <w:rPr>
          <w:lang w:val="fr-CA"/>
        </w:rPr>
        <w:lastRenderedPageBreak/>
        <w:t>Annexe B</w:t>
      </w:r>
      <w:r w:rsidR="004A0CDA">
        <w:rPr>
          <w:lang w:val="fr-CA"/>
        </w:rPr>
        <w:t> </w:t>
      </w:r>
      <w:r w:rsidRPr="00F63B64">
        <w:rPr>
          <w:lang w:val="fr-CA"/>
        </w:rPr>
        <w:t>: Bibliographie (</w:t>
      </w:r>
      <w:r w:rsidR="00F63B64">
        <w:rPr>
          <w:rFonts w:cs="Arial"/>
          <w:lang w:val="fr-CA"/>
        </w:rPr>
        <w:t>à</w:t>
      </w:r>
      <w:r w:rsidR="00F63B64" w:rsidRPr="00F63B64">
        <w:rPr>
          <w:lang w:val="fr-CA"/>
        </w:rPr>
        <w:t xml:space="preserve"> titre i</w:t>
      </w:r>
      <w:r w:rsidRPr="00F63B64">
        <w:rPr>
          <w:lang w:val="fr-CA"/>
        </w:rPr>
        <w:t>nformat</w:t>
      </w:r>
      <w:r w:rsidR="00F63B64" w:rsidRPr="00F63B64">
        <w:rPr>
          <w:lang w:val="fr-CA"/>
        </w:rPr>
        <w:t>if</w:t>
      </w:r>
      <w:r w:rsidRPr="00F63B64">
        <w:rPr>
          <w:lang w:val="fr-CA"/>
        </w:rPr>
        <w:t>)</w:t>
      </w:r>
      <w:bookmarkEnd w:id="689"/>
      <w:bookmarkEnd w:id="690"/>
    </w:p>
    <w:p w14:paraId="74DB36A2" w14:textId="0B12B552" w:rsidR="00DA4717" w:rsidRPr="00F63B64" w:rsidRDefault="00B6383C" w:rsidP="00A053AE">
      <w:pPr>
        <w:rPr>
          <w:rStyle w:val="EmphasisUseSparingly"/>
          <w:lang w:val="fr-CA"/>
        </w:rPr>
      </w:pPr>
      <w:r>
        <w:rPr>
          <w:rStyle w:val="EmphasisUseSparingly"/>
          <w:lang w:val="fr-CA"/>
        </w:rPr>
        <w:t>Remarque</w:t>
      </w:r>
      <w:r w:rsidR="004A0CDA">
        <w:rPr>
          <w:rStyle w:val="EmphasisUseSparingly"/>
          <w:lang w:val="fr-CA"/>
        </w:rPr>
        <w:t> </w:t>
      </w:r>
      <w:r w:rsidR="00DA4717" w:rsidRPr="00F63B64">
        <w:rPr>
          <w:rStyle w:val="EmphasisUseSparingly"/>
          <w:lang w:val="fr-CA"/>
        </w:rPr>
        <w:t xml:space="preserve">: </w:t>
      </w:r>
      <w:r w:rsidR="00DA4717" w:rsidRPr="00F63B64">
        <w:rPr>
          <w:lang w:val="fr-CA"/>
        </w:rPr>
        <w:t>Les résultats de recherche du Programme de subventions et contributions de recherche pour la promotion des normes d</w:t>
      </w:r>
      <w:r w:rsidR="00175CDA">
        <w:rPr>
          <w:lang w:val="fr-CA"/>
        </w:rPr>
        <w:t>’</w:t>
      </w:r>
      <w:r w:rsidR="00DA4717" w:rsidRPr="00F63B64">
        <w:rPr>
          <w:lang w:val="fr-CA"/>
        </w:rPr>
        <w:t>accessibilité du Canada ont éclairé la recherche et le développement de cette norme.</w:t>
      </w:r>
      <w:r w:rsidR="00A053AE" w:rsidRPr="00F63B64">
        <w:rPr>
          <w:lang w:val="fr-CA"/>
        </w:rPr>
        <w:t xml:space="preserve"> Les rapports de recherche connexes sont listés dans la bibliographie ci-dessous.</w:t>
      </w:r>
    </w:p>
    <w:p w14:paraId="6A7A56D7" w14:textId="115C5D73" w:rsidR="000F03A2" w:rsidRDefault="000F03A2" w:rsidP="000F03A2">
      <w:pPr>
        <w:pStyle w:val="Heading2"/>
      </w:pPr>
      <w:bookmarkStart w:id="691" w:name="_Toc219706266"/>
      <w:proofErr w:type="spellStart"/>
      <w:r>
        <w:t>Actes</w:t>
      </w:r>
      <w:bookmarkEnd w:id="691"/>
      <w:proofErr w:type="spellEnd"/>
    </w:p>
    <w:p w14:paraId="1A1D389E" w14:textId="6FE22578" w:rsidR="000F03A2" w:rsidRPr="00F63B64" w:rsidRDefault="006654F9" w:rsidP="000F03A2">
      <w:pPr>
        <w:rPr>
          <w:lang w:val="fr-CA"/>
        </w:rPr>
      </w:pPr>
      <w:r w:rsidRPr="00F63B64">
        <w:rPr>
          <w:lang w:val="fr-CA"/>
        </w:rPr>
        <w:t xml:space="preserve">Gouvernement du Canada. S.C. 2019, c. 10. </w:t>
      </w:r>
      <w:r w:rsidRPr="00E058BF">
        <w:rPr>
          <w:i/>
          <w:iCs/>
          <w:lang w:val="fr-CA"/>
        </w:rPr>
        <w:t>Loi canadienne accessible</w:t>
      </w:r>
      <w:r w:rsidRPr="00F63B64">
        <w:rPr>
          <w:lang w:val="fr-CA"/>
        </w:rPr>
        <w:br/>
      </w:r>
      <w:r>
        <w:fldChar w:fldCharType="begin"/>
      </w:r>
      <w:r w:rsidRPr="007C0FBA">
        <w:rPr>
          <w:lang w:val="fr-CA"/>
        </w:rPr>
        <w:instrText>HYPERLINK "https://laws-lois.justice.gc.ca/eng/acts/a-0.6/" \h</w:instrText>
      </w:r>
      <w:r>
        <w:fldChar w:fldCharType="separate"/>
      </w:r>
      <w:r w:rsidRPr="00F63B64">
        <w:rPr>
          <w:rStyle w:val="Hyperlink"/>
          <w:lang w:val="fr-CA"/>
        </w:rPr>
        <w:t>https://laws-lois.justice.gc.ca/eng/acts/a-0.6/</w:t>
      </w:r>
      <w:r>
        <w:fldChar w:fldCharType="end"/>
      </w:r>
    </w:p>
    <w:p w14:paraId="3EB88C57" w14:textId="648B25AA" w:rsidR="00FD3605" w:rsidRDefault="00A214D4" w:rsidP="00FD3605">
      <w:pPr>
        <w:pStyle w:val="Heading2"/>
      </w:pPr>
      <w:bookmarkStart w:id="692" w:name="_Toc219706267"/>
      <w:proofErr w:type="spellStart"/>
      <w:r>
        <w:t>Normes</w:t>
      </w:r>
      <w:proofErr w:type="spellEnd"/>
      <w:r>
        <w:t xml:space="preserve"> et codes</w:t>
      </w:r>
      <w:bookmarkEnd w:id="692"/>
    </w:p>
    <w:p w14:paraId="10AF6215" w14:textId="5605E225" w:rsidR="002F7825" w:rsidRPr="00877353" w:rsidRDefault="002F7825" w:rsidP="002F7825">
      <w:pPr>
        <w:rPr>
          <w:lang w:val="fr-CA"/>
        </w:rPr>
      </w:pPr>
      <w:bookmarkStart w:id="693" w:name="_Hlk173570034"/>
      <w:r w:rsidRPr="00877353">
        <w:rPr>
          <w:lang w:val="fr-CA"/>
        </w:rPr>
        <w:t>CSA/ASC B651.2</w:t>
      </w:r>
      <w:r w:rsidR="00CB3CFD">
        <w:rPr>
          <w:lang w:val="fr-CA"/>
        </w:rPr>
        <w:t>:</w:t>
      </w:r>
      <w:r w:rsidRPr="00877353">
        <w:rPr>
          <w:lang w:val="fr-CA"/>
        </w:rPr>
        <w:t>2022, Conception accessible pour les</w:t>
      </w:r>
      <w:r w:rsidR="00D936F0">
        <w:rPr>
          <w:lang w:val="fr-CA"/>
        </w:rPr>
        <w:t xml:space="preserve"> dispositifs</w:t>
      </w:r>
      <w:r w:rsidRPr="00877353">
        <w:rPr>
          <w:lang w:val="fr-CA"/>
        </w:rPr>
        <w:t xml:space="preserve"> interactifs libre-service, y compris les guichets automatiques </w:t>
      </w:r>
      <w:bookmarkEnd w:id="693"/>
      <w:r w:rsidR="00D936F0">
        <w:rPr>
          <w:lang w:val="fr-CA"/>
        </w:rPr>
        <w:t xml:space="preserve">bancaires </w:t>
      </w:r>
      <w:r w:rsidR="00EB4BC9">
        <w:fldChar w:fldCharType="begin"/>
      </w:r>
      <w:r w:rsidR="00EB4BC9" w:rsidRPr="007C0FBA">
        <w:rPr>
          <w:lang w:val="fr-CA"/>
        </w:rPr>
        <w:instrText>HYPERLINK "https://www.csagroup.org/store/product/2702626/"</w:instrText>
      </w:r>
      <w:r w:rsidR="00EB4BC9">
        <w:fldChar w:fldCharType="separate"/>
      </w:r>
      <w:r w:rsidR="00EB4BC9" w:rsidRPr="000E1F6C">
        <w:rPr>
          <w:rStyle w:val="Hyperlink"/>
          <w:lang w:val="fr-CA"/>
        </w:rPr>
        <w:t>https://www.csagroup.org/store/product/2702626/</w:t>
      </w:r>
      <w:r w:rsidR="00EB4BC9">
        <w:fldChar w:fldCharType="end"/>
      </w:r>
    </w:p>
    <w:p w14:paraId="451156ED" w14:textId="4E30434A" w:rsidR="004C27C2" w:rsidRPr="00EB4BC9" w:rsidRDefault="00A60B93" w:rsidP="002F7825">
      <w:r w:rsidRPr="00EB4BC9">
        <w:t>ICC A117.1</w:t>
      </w:r>
      <w:r w:rsidR="00BE0C22">
        <w:t>-</w:t>
      </w:r>
      <w:r w:rsidRPr="00EB4BC9">
        <w:t>2017, Standard for Accessible and Usable Buildings and Facilities (</w:t>
      </w:r>
      <w:proofErr w:type="spellStart"/>
      <w:r w:rsidR="004C27C2" w:rsidRPr="00EB4BC9">
        <w:t>en</w:t>
      </w:r>
      <w:proofErr w:type="spellEnd"/>
      <w:r w:rsidR="004C27C2" w:rsidRPr="00EB4BC9">
        <w:t xml:space="preserve"> anglais </w:t>
      </w:r>
      <w:proofErr w:type="spellStart"/>
      <w:r w:rsidR="004C27C2" w:rsidRPr="00EB4BC9">
        <w:t>seulement</w:t>
      </w:r>
      <w:proofErr w:type="spellEnd"/>
      <w:r w:rsidRPr="00EB4BC9">
        <w:t xml:space="preserve">) </w:t>
      </w:r>
      <w:hyperlink r:id="rId24" w:history="1">
        <w:r w:rsidR="004C27C2" w:rsidRPr="00EB4BC9">
          <w:rPr>
            <w:rStyle w:val="Hyperlink"/>
          </w:rPr>
          <w:t>https://codes.iccsafe.org/content/icca117-12017P4</w:t>
        </w:r>
      </w:hyperlink>
    </w:p>
    <w:p w14:paraId="7DC8DC75" w14:textId="6B227702" w:rsidR="002F7825" w:rsidRPr="00E4400D" w:rsidRDefault="002F7825" w:rsidP="002F7825">
      <w:pPr>
        <w:rPr>
          <w:lang w:val="fr-CA"/>
        </w:rPr>
      </w:pPr>
      <w:r w:rsidRPr="00E4400D">
        <w:rPr>
          <w:lang w:val="fr-CA"/>
        </w:rPr>
        <w:t xml:space="preserve">Ville de Mississauga, 2015, </w:t>
      </w:r>
      <w:r w:rsidR="00E4400D" w:rsidRPr="00E4400D">
        <w:rPr>
          <w:lang w:val="fr-CA"/>
        </w:rPr>
        <w:t xml:space="preserve">Facility </w:t>
      </w:r>
      <w:proofErr w:type="spellStart"/>
      <w:r w:rsidR="00E4400D" w:rsidRPr="00E4400D">
        <w:rPr>
          <w:lang w:val="fr-CA"/>
        </w:rPr>
        <w:t>Accessibility</w:t>
      </w:r>
      <w:proofErr w:type="spellEnd"/>
      <w:r w:rsidR="00E4400D" w:rsidRPr="00E4400D">
        <w:rPr>
          <w:lang w:val="fr-CA"/>
        </w:rPr>
        <w:t xml:space="preserve"> Design Standards (en anglais </w:t>
      </w:r>
      <w:r w:rsidR="00E4400D">
        <w:rPr>
          <w:lang w:val="fr-CA"/>
        </w:rPr>
        <w:t>seulement)</w:t>
      </w:r>
      <w:r w:rsidRPr="00E4400D">
        <w:rPr>
          <w:lang w:val="fr-CA"/>
        </w:rPr>
        <w:t xml:space="preserve"> </w:t>
      </w:r>
      <w:r>
        <w:fldChar w:fldCharType="begin"/>
      </w:r>
      <w:r w:rsidRPr="007C0FBA">
        <w:rPr>
          <w:lang w:val="fr-CA"/>
        </w:rPr>
        <w:instrText>HYPERLINK "https://www.mississauga.ca/file/COM/City_Of_Mississauga_Facility_Accessibility_Design_Standards.pdf"</w:instrText>
      </w:r>
      <w:r>
        <w:fldChar w:fldCharType="separate"/>
      </w:r>
      <w:r w:rsidRPr="00E4400D">
        <w:rPr>
          <w:rStyle w:val="Hyperlink"/>
          <w:lang w:val="fr-CA"/>
        </w:rPr>
        <w:t>https://www.mississauga.ca/file/COM/City_Of_Mississauga_Facility_Accessibility_Design_Standards.pdf</w:t>
      </w:r>
      <w:r>
        <w:fldChar w:fldCharType="end"/>
      </w:r>
    </w:p>
    <w:p w14:paraId="3534B5BC" w14:textId="7D8861CE" w:rsidR="00E50A66" w:rsidRDefault="003D34F2" w:rsidP="002F7825">
      <w:pPr>
        <w:rPr>
          <w:lang w:val="fr-CA"/>
        </w:rPr>
      </w:pPr>
      <w:r>
        <w:rPr>
          <w:lang w:val="fr-CA"/>
        </w:rPr>
        <w:t xml:space="preserve">Ville de Ottawa, </w:t>
      </w:r>
      <w:r w:rsidR="000F0A4A">
        <w:rPr>
          <w:lang w:val="fr-CA"/>
        </w:rPr>
        <w:t>2015,</w:t>
      </w:r>
      <w:r w:rsidR="0080715E">
        <w:rPr>
          <w:lang w:val="fr-CA"/>
        </w:rPr>
        <w:t xml:space="preserve"> </w:t>
      </w:r>
      <w:r w:rsidR="00B53A13">
        <w:rPr>
          <w:lang w:val="fr-CA"/>
        </w:rPr>
        <w:t xml:space="preserve">Les </w:t>
      </w:r>
      <w:r w:rsidR="002F7825" w:rsidRPr="00F63B64">
        <w:rPr>
          <w:lang w:val="fr-CA"/>
        </w:rPr>
        <w:t xml:space="preserve">Normes de conception </w:t>
      </w:r>
      <w:r w:rsidR="00B53A13">
        <w:rPr>
          <w:lang w:val="fr-CA"/>
        </w:rPr>
        <w:t>accessible</w:t>
      </w:r>
      <w:r w:rsidR="002F7825" w:rsidRPr="00F63B64">
        <w:rPr>
          <w:lang w:val="fr-CA"/>
        </w:rPr>
        <w:t xml:space="preserve">, </w:t>
      </w:r>
      <w:r w:rsidR="00821904">
        <w:rPr>
          <w:lang w:val="fr-CA"/>
        </w:rPr>
        <w:t>Deuxième</w:t>
      </w:r>
      <w:r w:rsidR="002F7825" w:rsidRPr="00F63B64">
        <w:rPr>
          <w:lang w:val="fr-CA"/>
        </w:rPr>
        <w:t xml:space="preserve"> édition </w:t>
      </w:r>
      <w:r w:rsidR="001D37AC">
        <w:fldChar w:fldCharType="begin"/>
      </w:r>
      <w:r w:rsidR="001D37AC" w:rsidRPr="007C0FBA">
        <w:rPr>
          <w:lang w:val="fr-CA"/>
        </w:rPr>
        <w:instrText>HYPERLINK "https://documents.ottawa.ca/sites/default/files/documents/accessibility_design_standards_fr.pdf"</w:instrText>
      </w:r>
      <w:r w:rsidR="001D37AC">
        <w:fldChar w:fldCharType="separate"/>
      </w:r>
      <w:r w:rsidR="001D37AC" w:rsidRPr="000E1F6C">
        <w:rPr>
          <w:rStyle w:val="Hyperlink"/>
          <w:lang w:val="fr-CA"/>
        </w:rPr>
        <w:t>https://documents.ottawa.ca/sites/default/files/documents/accessibility_design_standards_fr.pdf</w:t>
      </w:r>
      <w:r w:rsidR="001D37AC">
        <w:fldChar w:fldCharType="end"/>
      </w:r>
    </w:p>
    <w:p w14:paraId="3072FFC6" w14:textId="2AE57456" w:rsidR="002F7825" w:rsidRPr="00F63B64" w:rsidRDefault="002F7825" w:rsidP="002F7825">
      <w:pPr>
        <w:rPr>
          <w:lang w:val="fr-CA"/>
        </w:rPr>
      </w:pPr>
      <w:bookmarkStart w:id="694" w:name="_Hlk173570623"/>
      <w:r w:rsidRPr="00F63B64">
        <w:rPr>
          <w:lang w:val="fr-CA"/>
        </w:rPr>
        <w:lastRenderedPageBreak/>
        <w:t>EN 17210</w:t>
      </w:r>
      <w:r w:rsidR="00065836">
        <w:rPr>
          <w:lang w:val="fr-CA"/>
        </w:rPr>
        <w:t>:</w:t>
      </w:r>
      <w:r w:rsidRPr="00F63B64">
        <w:rPr>
          <w:lang w:val="fr-CA"/>
        </w:rPr>
        <w:t>2021, Accessibilité et utilisabilité de l</w:t>
      </w:r>
      <w:r w:rsidR="00175CDA">
        <w:rPr>
          <w:lang w:val="fr-CA"/>
        </w:rPr>
        <w:t>’</w:t>
      </w:r>
      <w:r w:rsidRPr="00F63B64">
        <w:rPr>
          <w:lang w:val="fr-CA"/>
        </w:rPr>
        <w:t xml:space="preserve">environnement bâti - Exigences fonctionnelles </w:t>
      </w:r>
      <w:r>
        <w:fldChar w:fldCharType="begin"/>
      </w:r>
      <w:r w:rsidRPr="007C0FBA">
        <w:rPr>
          <w:lang w:val="fr-CA"/>
        </w:rPr>
        <w:instrText>HYPERLINK "https://standards.iteh.ai/catalog/standards/cen/458b7c84-e47b-479c-bc60-82e3e94a4057/en-17210-2021"</w:instrText>
      </w:r>
      <w:r>
        <w:fldChar w:fldCharType="separate"/>
      </w:r>
      <w:r w:rsidRPr="00F63B64">
        <w:rPr>
          <w:rStyle w:val="Hyperlink"/>
          <w:lang w:val="fr-CA"/>
        </w:rPr>
        <w:t>https://standards.iteh.ai/catalog/standards/cen/458b7c84-e47b-479c-bc60-82e3e94a4057/en-17210-2021</w:t>
      </w:r>
      <w:r>
        <w:fldChar w:fldCharType="end"/>
      </w:r>
    </w:p>
    <w:bookmarkEnd w:id="694"/>
    <w:p w14:paraId="46CB2D7D" w14:textId="0CACD4E3" w:rsidR="002F7825" w:rsidRPr="00F63B64" w:rsidRDefault="002F7825" w:rsidP="002F7825">
      <w:pPr>
        <w:rPr>
          <w:lang w:val="fr-CA"/>
        </w:rPr>
      </w:pPr>
      <w:r w:rsidRPr="00F63B64">
        <w:rPr>
          <w:lang w:val="fr-CA"/>
        </w:rPr>
        <w:t>EN 17210</w:t>
      </w:r>
      <w:r w:rsidR="00065836">
        <w:rPr>
          <w:lang w:val="fr-CA"/>
        </w:rPr>
        <w:t>:</w:t>
      </w:r>
      <w:r w:rsidRPr="00F63B64">
        <w:rPr>
          <w:lang w:val="fr-CA"/>
        </w:rPr>
        <w:t>2021, Accessibilité et utilisabilité de l</w:t>
      </w:r>
      <w:r w:rsidR="00175CDA">
        <w:rPr>
          <w:lang w:val="fr-CA"/>
        </w:rPr>
        <w:t>’</w:t>
      </w:r>
      <w:r w:rsidRPr="00F63B64">
        <w:rPr>
          <w:lang w:val="fr-CA"/>
        </w:rPr>
        <w:t xml:space="preserve">environnement bâti – Critères et spécifications techniques de performance, </w:t>
      </w:r>
      <w:r>
        <w:fldChar w:fldCharType="begin"/>
      </w:r>
      <w:r w:rsidRPr="007C0FBA">
        <w:rPr>
          <w:lang w:val="fr-CA"/>
        </w:rPr>
        <w:instrText>HYPERLINK "https://standards.iteh.ai/catalog/standards/cen/9ac3881a-305b-4b6a-836f-5f436fc1203c/cen-tr-17621-2021"</w:instrText>
      </w:r>
      <w:r>
        <w:fldChar w:fldCharType="separate"/>
      </w:r>
      <w:r w:rsidRPr="00F63B64">
        <w:rPr>
          <w:rStyle w:val="Hyperlink"/>
          <w:lang w:val="fr-CA"/>
        </w:rPr>
        <w:t>https://standards.iteh.ai/catalog/standards/cen/9ac3881a-305b-4b6a-836f-5f436fc1203c/cen-tr-17621-2021</w:t>
      </w:r>
      <w:r>
        <w:fldChar w:fldCharType="end"/>
      </w:r>
    </w:p>
    <w:p w14:paraId="7B9CF716" w14:textId="3DF98B83" w:rsidR="002F7825" w:rsidRDefault="002F7825" w:rsidP="002F7825">
      <w:pPr>
        <w:rPr>
          <w:lang w:val="fr-CA"/>
        </w:rPr>
      </w:pPr>
      <w:r w:rsidRPr="00F63B64">
        <w:rPr>
          <w:lang w:val="fr-CA"/>
        </w:rPr>
        <w:t>ISO 7010</w:t>
      </w:r>
      <w:r w:rsidR="006B589B">
        <w:rPr>
          <w:lang w:val="fr-CA"/>
        </w:rPr>
        <w:t>:</w:t>
      </w:r>
      <w:r w:rsidRPr="00F63B64">
        <w:rPr>
          <w:lang w:val="fr-CA"/>
        </w:rPr>
        <w:t>2019, Symboles graphiques – Couleurs de sécurité e</w:t>
      </w:r>
      <w:r w:rsidR="00DB3877">
        <w:rPr>
          <w:lang w:val="fr-CA"/>
        </w:rPr>
        <w:t>t signaux</w:t>
      </w:r>
      <w:r w:rsidRPr="00F63B64">
        <w:rPr>
          <w:lang w:val="fr-CA"/>
        </w:rPr>
        <w:t xml:space="preserve"> de sécurité – </w:t>
      </w:r>
      <w:r w:rsidR="00DB3877">
        <w:rPr>
          <w:lang w:val="fr-CA"/>
        </w:rPr>
        <w:t>Signaux</w:t>
      </w:r>
      <w:r w:rsidRPr="00F63B64">
        <w:rPr>
          <w:lang w:val="fr-CA"/>
        </w:rPr>
        <w:t xml:space="preserve"> de sécurité enregistrés </w:t>
      </w:r>
      <w:r w:rsidR="004D6013">
        <w:fldChar w:fldCharType="begin"/>
      </w:r>
      <w:r w:rsidR="004D6013" w:rsidRPr="007C0FBA">
        <w:rPr>
          <w:lang w:val="fr-CA"/>
        </w:rPr>
        <w:instrText>HYPERLINK "https://www.iso.org/fr/standard/72424.html"</w:instrText>
      </w:r>
      <w:r w:rsidR="004D6013">
        <w:fldChar w:fldCharType="separate"/>
      </w:r>
      <w:r w:rsidR="004D6013" w:rsidRPr="000E1F6C">
        <w:rPr>
          <w:rStyle w:val="Hyperlink"/>
          <w:lang w:val="fr-CA"/>
        </w:rPr>
        <w:t>https://www.iso.org/fr/standard/72424.html</w:t>
      </w:r>
      <w:r w:rsidR="004D6013">
        <w:fldChar w:fldCharType="end"/>
      </w:r>
    </w:p>
    <w:p w14:paraId="4FC00FA9" w14:textId="3685774E" w:rsidR="002F7825" w:rsidRDefault="002F7825" w:rsidP="002F7825">
      <w:pPr>
        <w:rPr>
          <w:lang w:val="fr-CA"/>
        </w:rPr>
      </w:pPr>
      <w:r w:rsidRPr="00F63B64">
        <w:rPr>
          <w:lang w:val="fr-CA"/>
        </w:rPr>
        <w:t>ISO 28564</w:t>
      </w:r>
      <w:r w:rsidR="00BD6092">
        <w:rPr>
          <w:lang w:val="fr-CA"/>
        </w:rPr>
        <w:t>-1</w:t>
      </w:r>
      <w:r w:rsidR="004D6013">
        <w:rPr>
          <w:lang w:val="fr-CA"/>
        </w:rPr>
        <w:t>:</w:t>
      </w:r>
      <w:r w:rsidRPr="00F63B64">
        <w:rPr>
          <w:lang w:val="fr-CA"/>
        </w:rPr>
        <w:t>2010, Systèmes d</w:t>
      </w:r>
      <w:r w:rsidR="002700AB">
        <w:rPr>
          <w:lang w:val="fr-CA"/>
        </w:rPr>
        <w:t>e guidage destin</w:t>
      </w:r>
      <w:r w:rsidR="002700AB">
        <w:rPr>
          <w:rFonts w:cs="Arial"/>
          <w:lang w:val="fr-CA"/>
        </w:rPr>
        <w:t>é</w:t>
      </w:r>
      <w:r w:rsidR="002700AB">
        <w:rPr>
          <w:lang w:val="fr-CA"/>
        </w:rPr>
        <w:t>s à l’information du public</w:t>
      </w:r>
      <w:r w:rsidRPr="00F63B64">
        <w:rPr>
          <w:lang w:val="fr-CA"/>
        </w:rPr>
        <w:t xml:space="preserve"> – Partie 1</w:t>
      </w:r>
      <w:r w:rsidR="004A0CDA">
        <w:rPr>
          <w:lang w:val="fr-CA"/>
        </w:rPr>
        <w:t> </w:t>
      </w:r>
      <w:r w:rsidRPr="00F63B64">
        <w:rPr>
          <w:lang w:val="fr-CA"/>
        </w:rPr>
        <w:t xml:space="preserve">: Principes de conception et exigences élémentaires pour les </w:t>
      </w:r>
      <w:r w:rsidR="002700AB">
        <w:rPr>
          <w:lang w:val="fr-CA"/>
        </w:rPr>
        <w:t xml:space="preserve">éléments de </w:t>
      </w:r>
      <w:r w:rsidRPr="00F63B64">
        <w:rPr>
          <w:lang w:val="fr-CA"/>
        </w:rPr>
        <w:t>plans, cartes et diagrammes</w:t>
      </w:r>
      <w:r w:rsidR="002700AB">
        <w:rPr>
          <w:lang w:val="fr-CA"/>
        </w:rPr>
        <w:t xml:space="preserve"> de situation</w:t>
      </w:r>
      <w:r w:rsidRPr="00F63B64">
        <w:rPr>
          <w:lang w:val="fr-CA"/>
        </w:rPr>
        <w:t xml:space="preserve"> </w:t>
      </w:r>
      <w:r w:rsidR="00F7266F">
        <w:fldChar w:fldCharType="begin"/>
      </w:r>
      <w:r w:rsidR="00F7266F" w:rsidRPr="007C0FBA">
        <w:rPr>
          <w:lang w:val="fr-CA"/>
        </w:rPr>
        <w:instrText>HYPERLINK "https://www.iso.org/fr/standard/44762.html"</w:instrText>
      </w:r>
      <w:r w:rsidR="00F7266F">
        <w:fldChar w:fldCharType="separate"/>
      </w:r>
      <w:r w:rsidR="00F7266F" w:rsidRPr="000E1F6C">
        <w:rPr>
          <w:rStyle w:val="Hyperlink"/>
          <w:lang w:val="fr-CA"/>
        </w:rPr>
        <w:t>https://www.iso.org/fr/standard/44762.html</w:t>
      </w:r>
      <w:r w:rsidR="00F7266F">
        <w:fldChar w:fldCharType="end"/>
      </w:r>
    </w:p>
    <w:p w14:paraId="1625AC3A" w14:textId="355D5C57" w:rsidR="002F7825" w:rsidRDefault="002F7825" w:rsidP="002F7825">
      <w:pPr>
        <w:rPr>
          <w:lang w:val="fr-CA"/>
        </w:rPr>
      </w:pPr>
      <w:r w:rsidRPr="00F63B64">
        <w:rPr>
          <w:lang w:val="fr-CA"/>
        </w:rPr>
        <w:t>ISO 28564-2</w:t>
      </w:r>
      <w:r w:rsidR="00C72BA5">
        <w:rPr>
          <w:lang w:val="fr-CA"/>
        </w:rPr>
        <w:t>:</w:t>
      </w:r>
      <w:r w:rsidRPr="00F63B64">
        <w:rPr>
          <w:lang w:val="fr-CA"/>
        </w:rPr>
        <w:t>2016, Systèmes d</w:t>
      </w:r>
      <w:r w:rsidR="00C72BA5">
        <w:rPr>
          <w:lang w:val="fr-CA"/>
        </w:rPr>
        <w:t>e guidage destin</w:t>
      </w:r>
      <w:r w:rsidR="009726C1">
        <w:rPr>
          <w:rFonts w:cs="Arial"/>
          <w:lang w:val="fr-CA"/>
        </w:rPr>
        <w:t>é</w:t>
      </w:r>
      <w:r w:rsidR="00C72BA5">
        <w:rPr>
          <w:lang w:val="fr-CA"/>
        </w:rPr>
        <w:t xml:space="preserve">s </w:t>
      </w:r>
      <w:r w:rsidR="009726C1">
        <w:rPr>
          <w:lang w:val="fr-CA"/>
        </w:rPr>
        <w:t>à</w:t>
      </w:r>
      <w:r w:rsidR="00C72BA5">
        <w:rPr>
          <w:lang w:val="fr-CA"/>
        </w:rPr>
        <w:t xml:space="preserve"> l</w:t>
      </w:r>
      <w:r w:rsidR="00175CDA">
        <w:rPr>
          <w:lang w:val="fr-CA"/>
        </w:rPr>
        <w:t>’</w:t>
      </w:r>
      <w:r w:rsidRPr="00F63B64">
        <w:rPr>
          <w:lang w:val="fr-CA"/>
        </w:rPr>
        <w:t xml:space="preserve">information </w:t>
      </w:r>
      <w:r w:rsidR="00C72BA5">
        <w:rPr>
          <w:lang w:val="fr-CA"/>
        </w:rPr>
        <w:t>du public</w:t>
      </w:r>
      <w:r w:rsidRPr="00F63B64">
        <w:rPr>
          <w:lang w:val="fr-CA"/>
        </w:rPr>
        <w:t xml:space="preserve"> – Partie 2</w:t>
      </w:r>
      <w:r w:rsidR="004A0CDA">
        <w:rPr>
          <w:lang w:val="fr-CA"/>
        </w:rPr>
        <w:t> </w:t>
      </w:r>
      <w:r w:rsidRPr="00F63B64">
        <w:rPr>
          <w:lang w:val="fr-CA"/>
        </w:rPr>
        <w:t>: Lignes directrices pour la conception et l</w:t>
      </w:r>
      <w:r w:rsidR="003E4D97">
        <w:rPr>
          <w:lang w:val="fr-CA"/>
        </w:rPr>
        <w:t>’</w:t>
      </w:r>
      <w:r w:rsidRPr="00F63B64">
        <w:rPr>
          <w:lang w:val="fr-CA"/>
        </w:rPr>
        <w:t xml:space="preserve">utilisation des panneaux de </w:t>
      </w:r>
      <w:r w:rsidR="0006655D">
        <w:rPr>
          <w:lang w:val="fr-CA"/>
        </w:rPr>
        <w:t>direction et de localisation</w:t>
      </w:r>
      <w:r w:rsidR="008F37E2">
        <w:rPr>
          <w:lang w:val="fr-CA"/>
        </w:rPr>
        <w:t xml:space="preserve"> (</w:t>
      </w:r>
      <w:r w:rsidR="008627F3">
        <w:rPr>
          <w:lang w:val="fr-CA"/>
        </w:rPr>
        <w:t xml:space="preserve">Indisponible en </w:t>
      </w:r>
      <w:r w:rsidR="009726C1">
        <w:rPr>
          <w:lang w:val="fr-CA"/>
        </w:rPr>
        <w:t>français</w:t>
      </w:r>
      <w:r w:rsidR="008627F3">
        <w:rPr>
          <w:lang w:val="fr-CA"/>
        </w:rPr>
        <w:t>)</w:t>
      </w:r>
      <w:r w:rsidRPr="00F63B64">
        <w:rPr>
          <w:lang w:val="fr-CA"/>
        </w:rPr>
        <w:t xml:space="preserve"> </w:t>
      </w:r>
      <w:r w:rsidR="009726C1">
        <w:fldChar w:fldCharType="begin"/>
      </w:r>
      <w:r w:rsidR="009726C1" w:rsidRPr="007C0FBA">
        <w:rPr>
          <w:lang w:val="fr-CA"/>
        </w:rPr>
        <w:instrText>HYPERLINK "https://www.iso.org/fr/standard/56797.html"</w:instrText>
      </w:r>
      <w:r w:rsidR="009726C1">
        <w:fldChar w:fldCharType="separate"/>
      </w:r>
      <w:r w:rsidR="009726C1" w:rsidRPr="000E1F6C">
        <w:rPr>
          <w:rStyle w:val="Hyperlink"/>
          <w:lang w:val="fr-CA"/>
        </w:rPr>
        <w:t>https://www.iso.org/fr/standard/56797.html</w:t>
      </w:r>
      <w:r w:rsidR="009726C1">
        <w:fldChar w:fldCharType="end"/>
      </w:r>
    </w:p>
    <w:p w14:paraId="3E4CDAC7" w14:textId="5B52899B" w:rsidR="002F7825" w:rsidRDefault="002F7825" w:rsidP="002F7825">
      <w:pPr>
        <w:rPr>
          <w:lang w:val="fr-CA"/>
        </w:rPr>
      </w:pPr>
      <w:r w:rsidRPr="00F63B64">
        <w:rPr>
          <w:lang w:val="fr-CA"/>
        </w:rPr>
        <w:t>ISO 2</w:t>
      </w:r>
      <w:r w:rsidR="00AC3255">
        <w:rPr>
          <w:lang w:val="fr-CA"/>
        </w:rPr>
        <w:t>8</w:t>
      </w:r>
      <w:r w:rsidRPr="00F63B64">
        <w:rPr>
          <w:lang w:val="fr-CA"/>
        </w:rPr>
        <w:t>564-3</w:t>
      </w:r>
      <w:r w:rsidR="009726C1">
        <w:rPr>
          <w:lang w:val="fr-CA"/>
        </w:rPr>
        <w:t>:</w:t>
      </w:r>
      <w:r w:rsidRPr="00F63B64">
        <w:rPr>
          <w:lang w:val="fr-CA"/>
        </w:rPr>
        <w:t>2019, Systèmes d</w:t>
      </w:r>
      <w:r w:rsidR="004E086B">
        <w:rPr>
          <w:lang w:val="fr-CA"/>
        </w:rPr>
        <w:t>e guidage destin</w:t>
      </w:r>
      <w:r w:rsidR="004E086B">
        <w:rPr>
          <w:rFonts w:cs="Arial"/>
          <w:lang w:val="fr-CA"/>
        </w:rPr>
        <w:t>é</w:t>
      </w:r>
      <w:r w:rsidR="004E086B">
        <w:rPr>
          <w:lang w:val="fr-CA"/>
        </w:rPr>
        <w:t>s à l</w:t>
      </w:r>
      <w:r w:rsidR="003E4D97">
        <w:rPr>
          <w:lang w:val="fr-CA"/>
        </w:rPr>
        <w:t>’</w:t>
      </w:r>
      <w:r w:rsidRPr="00F63B64">
        <w:rPr>
          <w:lang w:val="fr-CA"/>
        </w:rPr>
        <w:t xml:space="preserve">information </w:t>
      </w:r>
      <w:r w:rsidR="004E086B">
        <w:rPr>
          <w:lang w:val="fr-CA"/>
        </w:rPr>
        <w:t>du public</w:t>
      </w:r>
      <w:r w:rsidR="00306842">
        <w:rPr>
          <w:lang w:val="fr-CA"/>
        </w:rPr>
        <w:t xml:space="preserve"> </w:t>
      </w:r>
      <w:r w:rsidRPr="00F63B64">
        <w:rPr>
          <w:lang w:val="fr-CA"/>
        </w:rPr>
        <w:t>– Partie 3</w:t>
      </w:r>
      <w:r w:rsidR="004A0CDA">
        <w:rPr>
          <w:lang w:val="fr-CA"/>
        </w:rPr>
        <w:t> </w:t>
      </w:r>
      <w:r w:rsidRPr="00F63B64">
        <w:rPr>
          <w:lang w:val="fr-CA"/>
        </w:rPr>
        <w:t>: Lignes directrices pour la conception et l</w:t>
      </w:r>
      <w:r w:rsidR="003E4D97">
        <w:rPr>
          <w:lang w:val="fr-CA"/>
        </w:rPr>
        <w:t>’</w:t>
      </w:r>
      <w:r w:rsidRPr="00F63B64">
        <w:rPr>
          <w:lang w:val="fr-CA"/>
        </w:rPr>
        <w:t>utilisation de panneaux d</w:t>
      </w:r>
      <w:r w:rsidR="003E4D97">
        <w:rPr>
          <w:lang w:val="fr-CA"/>
        </w:rPr>
        <w:t>’</w:t>
      </w:r>
      <w:r w:rsidRPr="00F63B64">
        <w:rPr>
          <w:lang w:val="fr-CA"/>
        </w:rPr>
        <w:t>information</w:t>
      </w:r>
      <w:r w:rsidR="004E086B">
        <w:rPr>
          <w:lang w:val="fr-CA"/>
        </w:rPr>
        <w:t xml:space="preserve"> (Indisponible en français)</w:t>
      </w:r>
      <w:r w:rsidRPr="00F63B64">
        <w:rPr>
          <w:lang w:val="fr-CA"/>
        </w:rPr>
        <w:t xml:space="preserve">  </w:t>
      </w:r>
      <w:r w:rsidR="00E07511">
        <w:fldChar w:fldCharType="begin"/>
      </w:r>
      <w:r w:rsidR="00E07511" w:rsidRPr="007C0FBA">
        <w:rPr>
          <w:lang w:val="fr-CA"/>
        </w:rPr>
        <w:instrText>HYPERLINK "https://www.iso.org/fr/standard/67692.html"</w:instrText>
      </w:r>
      <w:r w:rsidR="00E07511">
        <w:fldChar w:fldCharType="separate"/>
      </w:r>
      <w:r w:rsidR="00E07511" w:rsidRPr="000E1F6C">
        <w:rPr>
          <w:rStyle w:val="Hyperlink"/>
          <w:lang w:val="fr-CA"/>
        </w:rPr>
        <w:t>https://www.iso.org/fr/standard/67692.html</w:t>
      </w:r>
      <w:r w:rsidR="00E07511">
        <w:fldChar w:fldCharType="end"/>
      </w:r>
    </w:p>
    <w:p w14:paraId="210D4830" w14:textId="2FB5EED6" w:rsidR="00EF4FD9" w:rsidRPr="00945B80" w:rsidRDefault="002F7825" w:rsidP="00A63E82">
      <w:pPr>
        <w:rPr>
          <w:lang w:val="fr-CA"/>
        </w:rPr>
      </w:pPr>
      <w:r w:rsidRPr="00F63B64">
        <w:rPr>
          <w:lang w:val="fr-CA"/>
        </w:rPr>
        <w:t>ISO 28564-4</w:t>
      </w:r>
      <w:r w:rsidR="00421FA9">
        <w:rPr>
          <w:lang w:val="fr-CA"/>
        </w:rPr>
        <w:t>:</w:t>
      </w:r>
      <w:r w:rsidRPr="00F63B64">
        <w:rPr>
          <w:lang w:val="fr-CA"/>
        </w:rPr>
        <w:t>2023, Systèmes de guida</w:t>
      </w:r>
      <w:r w:rsidR="00473936">
        <w:rPr>
          <w:lang w:val="fr-CA"/>
        </w:rPr>
        <w:t>ge</w:t>
      </w:r>
      <w:r w:rsidRPr="00F63B64">
        <w:rPr>
          <w:lang w:val="fr-CA"/>
        </w:rPr>
        <w:t xml:space="preserve"> d</w:t>
      </w:r>
      <w:r w:rsidR="00473936">
        <w:rPr>
          <w:lang w:val="fr-CA"/>
        </w:rPr>
        <w:t>estin</w:t>
      </w:r>
      <w:r w:rsidR="00306842">
        <w:rPr>
          <w:lang w:val="fr-CA"/>
        </w:rPr>
        <w:t>é</w:t>
      </w:r>
      <w:r w:rsidR="00473936">
        <w:rPr>
          <w:lang w:val="fr-CA"/>
        </w:rPr>
        <w:t xml:space="preserve">s </w:t>
      </w:r>
      <w:r w:rsidR="00CA34D8">
        <w:rPr>
          <w:rFonts w:cs="Arial"/>
          <w:lang w:val="fr-CA"/>
        </w:rPr>
        <w:t>à</w:t>
      </w:r>
      <w:r w:rsidR="00473936">
        <w:rPr>
          <w:lang w:val="fr-CA"/>
        </w:rPr>
        <w:t xml:space="preserve"> l’information du public</w:t>
      </w:r>
      <w:r w:rsidRPr="00F63B64">
        <w:rPr>
          <w:lang w:val="fr-CA"/>
        </w:rPr>
        <w:t xml:space="preserve"> – Partie 4</w:t>
      </w:r>
      <w:r w:rsidR="004A0CDA">
        <w:rPr>
          <w:lang w:val="fr-CA"/>
        </w:rPr>
        <w:t> </w:t>
      </w:r>
      <w:r w:rsidRPr="00F63B64">
        <w:rPr>
          <w:lang w:val="fr-CA"/>
        </w:rPr>
        <w:t>: Installation et évaluation</w:t>
      </w:r>
      <w:r w:rsidR="00C63B5E">
        <w:rPr>
          <w:lang w:val="fr-CA"/>
        </w:rPr>
        <w:t xml:space="preserve"> (Indisponible en français)</w:t>
      </w:r>
      <w:r w:rsidR="00CA34D8">
        <w:rPr>
          <w:lang w:val="fr-CA"/>
        </w:rPr>
        <w:t xml:space="preserve"> </w:t>
      </w:r>
      <w:r w:rsidR="00C63B5E">
        <w:fldChar w:fldCharType="begin"/>
      </w:r>
      <w:r w:rsidR="00C63B5E" w:rsidRPr="007C0FBA">
        <w:rPr>
          <w:lang w:val="fr-CA"/>
        </w:rPr>
        <w:instrText>HYPERLINK "https://www.iso.org/fr/standard/79608.html"</w:instrText>
      </w:r>
      <w:r w:rsidR="00C63B5E">
        <w:fldChar w:fldCharType="separate"/>
      </w:r>
      <w:r w:rsidR="00C63B5E" w:rsidRPr="000E1F6C">
        <w:rPr>
          <w:rStyle w:val="Hyperlink"/>
          <w:lang w:val="fr-CA"/>
        </w:rPr>
        <w:t>https://www.iso.org/fr/standard/79608.html</w:t>
      </w:r>
      <w:r w:rsidR="00C63B5E">
        <w:fldChar w:fldCharType="end"/>
      </w:r>
    </w:p>
    <w:p w14:paraId="1B3E5D38" w14:textId="068CFE24" w:rsidR="002F7825" w:rsidRPr="00F63B64" w:rsidRDefault="002F7825" w:rsidP="00A63E82">
      <w:pPr>
        <w:rPr>
          <w:lang w:val="fr-CA"/>
        </w:rPr>
      </w:pPr>
      <w:r w:rsidRPr="00F63B64">
        <w:rPr>
          <w:lang w:val="fr-CA"/>
        </w:rPr>
        <w:t xml:space="preserve">ISO/IEC 71, 2014, Guide pour </w:t>
      </w:r>
      <w:r w:rsidR="004D7C56">
        <w:rPr>
          <w:lang w:val="fr-CA"/>
        </w:rPr>
        <w:t>l’intégration de</w:t>
      </w:r>
      <w:r w:rsidRPr="00F63B64">
        <w:rPr>
          <w:lang w:val="fr-CA"/>
        </w:rPr>
        <w:t xml:space="preserve"> l</w:t>
      </w:r>
      <w:r w:rsidR="003E4D97">
        <w:rPr>
          <w:lang w:val="fr-CA"/>
        </w:rPr>
        <w:t>’</w:t>
      </w:r>
      <w:r w:rsidRPr="00F63B64">
        <w:rPr>
          <w:lang w:val="fr-CA"/>
        </w:rPr>
        <w:t>accessibilité dans les normes</w:t>
      </w:r>
      <w:r w:rsidR="00EF4FD9">
        <w:rPr>
          <w:lang w:val="fr-CA"/>
        </w:rPr>
        <w:t xml:space="preserve"> </w:t>
      </w:r>
      <w:r w:rsidR="004D7C56">
        <w:fldChar w:fldCharType="begin"/>
      </w:r>
      <w:r w:rsidR="004D7C56" w:rsidRPr="007C0FBA">
        <w:rPr>
          <w:lang w:val="fr-CA"/>
        </w:rPr>
        <w:instrText>HYPERLINK "https://www.iso.org/fr/standard/57385.html"</w:instrText>
      </w:r>
      <w:r w:rsidR="004D7C56">
        <w:fldChar w:fldCharType="separate"/>
      </w:r>
      <w:r w:rsidR="004D7C56" w:rsidRPr="00C93F5A">
        <w:rPr>
          <w:rStyle w:val="Hyperlink"/>
          <w:lang w:val="fr-CA"/>
        </w:rPr>
        <w:t>https://www.iso.org/fr/standard/57385.html</w:t>
      </w:r>
      <w:r w:rsidR="004D7C56">
        <w:fldChar w:fldCharType="end"/>
      </w:r>
    </w:p>
    <w:p w14:paraId="428ADEB9" w14:textId="1FEED858" w:rsidR="002F7825" w:rsidRDefault="002F7825" w:rsidP="00A63E82">
      <w:pPr>
        <w:rPr>
          <w:lang w:val="fr-CA"/>
        </w:rPr>
      </w:pPr>
      <w:r w:rsidRPr="00F63B64">
        <w:rPr>
          <w:lang w:val="fr-CA"/>
        </w:rPr>
        <w:lastRenderedPageBreak/>
        <w:t>ISO 17049</w:t>
      </w:r>
      <w:r w:rsidR="00250B20">
        <w:rPr>
          <w:lang w:val="fr-CA"/>
        </w:rPr>
        <w:t> :</w:t>
      </w:r>
      <w:r w:rsidRPr="00F63B64">
        <w:rPr>
          <w:lang w:val="fr-CA"/>
        </w:rPr>
        <w:t>2013, Conception accessible</w:t>
      </w:r>
      <w:r w:rsidR="00FC406A">
        <w:rPr>
          <w:lang w:val="fr-CA"/>
        </w:rPr>
        <w:t>—</w:t>
      </w:r>
      <w:r w:rsidR="00DD7F51">
        <w:rPr>
          <w:lang w:val="fr-CA"/>
        </w:rPr>
        <w:t xml:space="preserve">Méthodes d’affichage des signes en braille </w:t>
      </w:r>
      <w:r w:rsidR="00F929AB">
        <w:fldChar w:fldCharType="begin"/>
      </w:r>
      <w:r w:rsidR="00F929AB" w:rsidRPr="007C0FBA">
        <w:rPr>
          <w:lang w:val="fr-CA"/>
        </w:rPr>
        <w:instrText>HYPERLINK "https://www.iso.org/fr/standard/58086.html"</w:instrText>
      </w:r>
      <w:r w:rsidR="00F929AB">
        <w:fldChar w:fldCharType="separate"/>
      </w:r>
      <w:r w:rsidR="00F929AB" w:rsidRPr="000E1F6C">
        <w:rPr>
          <w:rStyle w:val="Hyperlink"/>
          <w:lang w:val="fr-CA"/>
        </w:rPr>
        <w:t>https://www.iso.org/fr/standard/58086.html</w:t>
      </w:r>
      <w:r w:rsidR="00F929AB">
        <w:fldChar w:fldCharType="end"/>
      </w:r>
    </w:p>
    <w:p w14:paraId="648F2D95" w14:textId="0B6D4984" w:rsidR="002F7825" w:rsidRDefault="002F7825" w:rsidP="002F7825">
      <w:pPr>
        <w:rPr>
          <w:lang w:val="fr-CA"/>
        </w:rPr>
      </w:pPr>
      <w:r w:rsidRPr="00F63B64">
        <w:rPr>
          <w:lang w:val="fr-CA"/>
        </w:rPr>
        <w:t>ISO 21902</w:t>
      </w:r>
      <w:r w:rsidR="00530F4A">
        <w:rPr>
          <w:lang w:val="fr-CA"/>
        </w:rPr>
        <w:t>:</w:t>
      </w:r>
      <w:r w:rsidRPr="00F63B64">
        <w:rPr>
          <w:lang w:val="fr-CA"/>
        </w:rPr>
        <w:t>2021, Tourisme et services connexes</w:t>
      </w:r>
      <w:r w:rsidR="00EB6B3F">
        <w:rPr>
          <w:lang w:val="fr-CA"/>
        </w:rPr>
        <w:t xml:space="preserve"> – </w:t>
      </w:r>
      <w:r w:rsidRPr="00F63B64">
        <w:rPr>
          <w:lang w:val="fr-CA"/>
        </w:rPr>
        <w:t>Tourisme accessible pour tous – Exigences et recommandations</w:t>
      </w:r>
      <w:r w:rsidR="00EB6B3F">
        <w:rPr>
          <w:lang w:val="fr-CA"/>
        </w:rPr>
        <w:t xml:space="preserve"> (Indisponible en français)</w:t>
      </w:r>
      <w:r w:rsidRPr="00F63B64">
        <w:rPr>
          <w:lang w:val="fr-CA"/>
        </w:rPr>
        <w:t xml:space="preserve"> </w:t>
      </w:r>
      <w:r w:rsidR="000417BD">
        <w:fldChar w:fldCharType="begin"/>
      </w:r>
      <w:r w:rsidR="000417BD" w:rsidRPr="007C0FBA">
        <w:rPr>
          <w:lang w:val="fr-CA"/>
        </w:rPr>
        <w:instrText>HYPERLINK "https://www.iso.org/fr/standard/72126.html"</w:instrText>
      </w:r>
      <w:r w:rsidR="000417BD">
        <w:fldChar w:fldCharType="separate"/>
      </w:r>
      <w:r w:rsidR="000417BD" w:rsidRPr="000E1F6C">
        <w:rPr>
          <w:rStyle w:val="Hyperlink"/>
          <w:lang w:val="fr-CA"/>
        </w:rPr>
        <w:t>https://www.iso.org/fr/standard/72126.html</w:t>
      </w:r>
      <w:r w:rsidR="000417BD">
        <w:fldChar w:fldCharType="end"/>
      </w:r>
    </w:p>
    <w:p w14:paraId="63D486D1" w14:textId="607548A0" w:rsidR="002F7825" w:rsidRDefault="002F7825" w:rsidP="002F7825">
      <w:pPr>
        <w:rPr>
          <w:lang w:val="fr-CA"/>
        </w:rPr>
      </w:pPr>
      <w:r w:rsidRPr="00F63B64">
        <w:rPr>
          <w:lang w:val="fr-CA"/>
        </w:rPr>
        <w:t>ISO 23599</w:t>
      </w:r>
      <w:r w:rsidR="006D183A">
        <w:rPr>
          <w:lang w:val="fr-CA"/>
        </w:rPr>
        <w:t>:</w:t>
      </w:r>
      <w:r w:rsidRPr="00F63B64">
        <w:rPr>
          <w:lang w:val="fr-CA"/>
        </w:rPr>
        <w:t>2019, Produits d</w:t>
      </w:r>
      <w:r w:rsidR="003E4D97">
        <w:rPr>
          <w:lang w:val="fr-CA"/>
        </w:rPr>
        <w:t>’</w:t>
      </w:r>
      <w:r w:rsidRPr="00F63B64">
        <w:rPr>
          <w:lang w:val="fr-CA"/>
        </w:rPr>
        <w:t xml:space="preserve">assistance pour les personnes aveugles </w:t>
      </w:r>
      <w:r w:rsidR="00E70E61">
        <w:rPr>
          <w:lang w:val="fr-CA"/>
        </w:rPr>
        <w:t>ou visuellement affaiblies</w:t>
      </w:r>
      <w:r w:rsidRPr="00F63B64">
        <w:rPr>
          <w:lang w:val="fr-CA"/>
        </w:rPr>
        <w:t xml:space="preserve"> – Indicateurs tactiles de surface</w:t>
      </w:r>
      <w:r w:rsidR="00E70E61">
        <w:rPr>
          <w:lang w:val="fr-CA"/>
        </w:rPr>
        <w:t>s</w:t>
      </w:r>
      <w:r w:rsidRPr="00F63B64">
        <w:rPr>
          <w:lang w:val="fr-CA"/>
        </w:rPr>
        <w:t xml:space="preserve"> de marche</w:t>
      </w:r>
      <w:r w:rsidR="00E70E61">
        <w:rPr>
          <w:lang w:val="fr-CA"/>
        </w:rPr>
        <w:t xml:space="preserve"> (Indisponible en français)</w:t>
      </w:r>
      <w:r w:rsidRPr="00F63B64">
        <w:rPr>
          <w:lang w:val="fr-CA"/>
        </w:rPr>
        <w:t xml:space="preserve"> </w:t>
      </w:r>
      <w:r w:rsidR="0046404A">
        <w:fldChar w:fldCharType="begin"/>
      </w:r>
      <w:r w:rsidR="0046404A" w:rsidRPr="007C0FBA">
        <w:rPr>
          <w:lang w:val="fr-CA"/>
        </w:rPr>
        <w:instrText>HYPERLINK "https://www.iso.org/fr/standard/76106.html"</w:instrText>
      </w:r>
      <w:r w:rsidR="0046404A">
        <w:fldChar w:fldCharType="separate"/>
      </w:r>
      <w:r w:rsidR="0046404A" w:rsidRPr="000E1F6C">
        <w:rPr>
          <w:rStyle w:val="Hyperlink"/>
          <w:lang w:val="fr-CA"/>
        </w:rPr>
        <w:t>https://www.iso.org/fr/standard/76106.html</w:t>
      </w:r>
      <w:r w:rsidR="0046404A">
        <w:fldChar w:fldCharType="end"/>
      </w:r>
    </w:p>
    <w:p w14:paraId="23B0CDC9" w14:textId="7A38D7DB" w:rsidR="00BD551B" w:rsidRDefault="002F7825" w:rsidP="002F7825">
      <w:pPr>
        <w:rPr>
          <w:lang w:val="fr-CA"/>
        </w:rPr>
      </w:pPr>
      <w:r w:rsidRPr="00F63B64">
        <w:rPr>
          <w:lang w:val="fr-CA"/>
        </w:rPr>
        <w:t>ISO 21542</w:t>
      </w:r>
      <w:r w:rsidR="00D827E4">
        <w:rPr>
          <w:lang w:val="fr-CA"/>
        </w:rPr>
        <w:t>:</w:t>
      </w:r>
      <w:r w:rsidRPr="00F63B64">
        <w:rPr>
          <w:lang w:val="fr-CA"/>
        </w:rPr>
        <w:t>2021, C</w:t>
      </w:r>
      <w:r w:rsidR="000E1CD4">
        <w:rPr>
          <w:lang w:val="fr-CA"/>
        </w:rPr>
        <w:t>adre bâti</w:t>
      </w:r>
      <w:r w:rsidRPr="00F63B64">
        <w:rPr>
          <w:lang w:val="fr-CA"/>
        </w:rPr>
        <w:t xml:space="preserve"> — Accessibilité et u</w:t>
      </w:r>
      <w:r w:rsidR="000E1CD4">
        <w:rPr>
          <w:lang w:val="fr-CA"/>
        </w:rPr>
        <w:t>sage</w:t>
      </w:r>
      <w:r w:rsidRPr="00F63B64">
        <w:rPr>
          <w:lang w:val="fr-CA"/>
        </w:rPr>
        <w:t xml:space="preserve"> de l</w:t>
      </w:r>
      <w:r w:rsidR="003E4D97">
        <w:rPr>
          <w:lang w:val="fr-CA"/>
        </w:rPr>
        <w:t>’</w:t>
      </w:r>
      <w:r w:rsidRPr="00F63B64">
        <w:rPr>
          <w:lang w:val="fr-CA"/>
        </w:rPr>
        <w:t xml:space="preserve">environnement bâti, </w:t>
      </w:r>
      <w:r w:rsidR="001F0E2D">
        <w:fldChar w:fldCharType="begin"/>
      </w:r>
      <w:r w:rsidR="001F0E2D" w:rsidRPr="007C0FBA">
        <w:rPr>
          <w:lang w:val="fr-CA"/>
        </w:rPr>
        <w:instrText>HYPERLINK "https://www.iso.org/fr/standard/71860.html"</w:instrText>
      </w:r>
      <w:r w:rsidR="001F0E2D">
        <w:fldChar w:fldCharType="separate"/>
      </w:r>
      <w:r w:rsidR="001F0E2D" w:rsidRPr="000E1F6C">
        <w:rPr>
          <w:rStyle w:val="Hyperlink"/>
          <w:lang w:val="fr-CA"/>
        </w:rPr>
        <w:t>https://www.iso.org/fr/standard/71860.html</w:t>
      </w:r>
      <w:r w:rsidR="001F0E2D">
        <w:fldChar w:fldCharType="end"/>
      </w:r>
    </w:p>
    <w:p w14:paraId="72B3080E" w14:textId="3529C3AA" w:rsidR="00A214D4" w:rsidRPr="001F7229" w:rsidRDefault="002F7825" w:rsidP="002F7825">
      <w:r w:rsidRPr="001F7229">
        <w:t>AS1428.5</w:t>
      </w:r>
      <w:r w:rsidR="001F0E2D" w:rsidRPr="001F7229">
        <w:t>-</w:t>
      </w:r>
      <w:r w:rsidRPr="001F7229">
        <w:t xml:space="preserve">2010, </w:t>
      </w:r>
      <w:r w:rsidR="001F7229" w:rsidRPr="001F7229">
        <w:t>Design for access and mobility, Part 5: Communication for people who are deaf and hearing impaired</w:t>
      </w:r>
      <w:r w:rsidR="001F7229">
        <w:t xml:space="preserve"> (</w:t>
      </w:r>
      <w:proofErr w:type="spellStart"/>
      <w:r w:rsidR="00173774">
        <w:t>en</w:t>
      </w:r>
      <w:proofErr w:type="spellEnd"/>
      <w:r w:rsidR="00173774">
        <w:t xml:space="preserve"> anglais </w:t>
      </w:r>
      <w:proofErr w:type="spellStart"/>
      <w:r w:rsidR="00173774">
        <w:t>seulement</w:t>
      </w:r>
      <w:proofErr w:type="spellEnd"/>
      <w:r w:rsidR="00173774">
        <w:t>)</w:t>
      </w:r>
      <w:r w:rsidRPr="001F7229">
        <w:t xml:space="preserve"> </w:t>
      </w:r>
      <w:hyperlink r:id="rId25" w:history="1">
        <w:r w:rsidR="00837496" w:rsidRPr="001F7229">
          <w:rPr>
            <w:rStyle w:val="Hyperlink"/>
          </w:rPr>
          <w:t>https://store.standards.org.au/product/as-1428-5-2010</w:t>
        </w:r>
      </w:hyperlink>
    </w:p>
    <w:p w14:paraId="73474FB6" w14:textId="7774B9FF" w:rsidR="00826379" w:rsidRDefault="00826379" w:rsidP="00826379">
      <w:pPr>
        <w:pStyle w:val="Heading2"/>
      </w:pPr>
      <w:bookmarkStart w:id="695" w:name="_Toc219706268"/>
      <w:proofErr w:type="spellStart"/>
      <w:r>
        <w:t>Ressources</w:t>
      </w:r>
      <w:proofErr w:type="spellEnd"/>
      <w:r>
        <w:t xml:space="preserve"> </w:t>
      </w:r>
      <w:proofErr w:type="spellStart"/>
      <w:r>
        <w:t>en</w:t>
      </w:r>
      <w:proofErr w:type="spellEnd"/>
      <w:r>
        <w:t xml:space="preserve"> </w:t>
      </w:r>
      <w:proofErr w:type="spellStart"/>
      <w:r>
        <w:t>ligne</w:t>
      </w:r>
      <w:bookmarkEnd w:id="695"/>
      <w:proofErr w:type="spellEnd"/>
    </w:p>
    <w:p w14:paraId="6ECFF4A0" w14:textId="2EB37344" w:rsidR="005B204D" w:rsidRPr="00EA167A" w:rsidRDefault="00232023" w:rsidP="631CDD6F">
      <w:pPr>
        <w:rPr>
          <w:lang w:val="fr-CA"/>
        </w:rPr>
      </w:pPr>
      <w:r w:rsidRPr="00EA167A">
        <w:rPr>
          <w:lang w:val="fr-CA"/>
        </w:rPr>
        <w:t>Littératie</w:t>
      </w:r>
      <w:r w:rsidR="001C1E26" w:rsidRPr="00EA167A">
        <w:rPr>
          <w:lang w:val="fr-CA"/>
        </w:rPr>
        <w:t xml:space="preserve"> braille Canada. 2024.</w:t>
      </w:r>
      <w:r w:rsidR="00A817ED" w:rsidRPr="00EA167A">
        <w:rPr>
          <w:lang w:val="fr-CA"/>
        </w:rPr>
        <w:t xml:space="preserve"> Accessible </w:t>
      </w:r>
      <w:proofErr w:type="spellStart"/>
      <w:r w:rsidR="00A817ED" w:rsidRPr="00EA167A">
        <w:rPr>
          <w:lang w:val="fr-CA"/>
        </w:rPr>
        <w:t>Signage</w:t>
      </w:r>
      <w:proofErr w:type="spellEnd"/>
      <w:r w:rsidR="00A817ED" w:rsidRPr="00EA167A">
        <w:rPr>
          <w:lang w:val="fr-CA"/>
        </w:rPr>
        <w:t xml:space="preserve"> Guidelines (PDF)</w:t>
      </w:r>
      <w:proofErr w:type="gramStart"/>
      <w:r w:rsidR="00FC406A" w:rsidRPr="00EA167A">
        <w:rPr>
          <w:lang w:val="fr-CA"/>
        </w:rPr>
        <w:t>—</w:t>
      </w:r>
      <w:r w:rsidR="00076C73" w:rsidRPr="00EA167A">
        <w:rPr>
          <w:lang w:val="fr-CA"/>
        </w:rPr>
        <w:t>(</w:t>
      </w:r>
      <w:proofErr w:type="gramEnd"/>
      <w:r w:rsidR="00623350" w:rsidRPr="00EA167A">
        <w:rPr>
          <w:lang w:val="fr-CA"/>
        </w:rPr>
        <w:t>en anglais seulement</w:t>
      </w:r>
      <w:r w:rsidR="00076C73" w:rsidRPr="00EA167A">
        <w:rPr>
          <w:lang w:val="fr-CA"/>
        </w:rPr>
        <w:t xml:space="preserve">) </w:t>
      </w:r>
      <w:r w:rsidR="00076C73">
        <w:fldChar w:fldCharType="begin"/>
      </w:r>
      <w:r w:rsidR="00076C73" w:rsidRPr="007C0FBA">
        <w:rPr>
          <w:lang w:val="fr-CA"/>
        </w:rPr>
        <w:instrText>HYPERLINK "https://www.brailleliteracycanada.ca/storage/standards/BLC%20Accessible%20Signage%20Guidelines%202024.pdf" \h</w:instrText>
      </w:r>
      <w:r w:rsidR="00076C73">
        <w:fldChar w:fldCharType="separate"/>
      </w:r>
      <w:r w:rsidR="00076C73" w:rsidRPr="00EA167A">
        <w:rPr>
          <w:rStyle w:val="Hyperlink"/>
          <w:lang w:val="fr-CA"/>
        </w:rPr>
        <w:t>https://www.brailleliteracycanada.ca/storage/standards/BLC%20Accessible%20Signage%20Guidelines%202024.pdf</w:t>
      </w:r>
      <w:r w:rsidR="00076C73">
        <w:fldChar w:fldCharType="end"/>
      </w:r>
    </w:p>
    <w:p w14:paraId="7A8C7B3F" w14:textId="4ACDAFCA" w:rsidR="00623350" w:rsidRPr="00EA167A" w:rsidRDefault="00623350" w:rsidP="631CDD6F">
      <w:pPr>
        <w:rPr>
          <w:lang w:val="fr-CA"/>
        </w:rPr>
      </w:pPr>
      <w:r w:rsidRPr="00EA167A">
        <w:rPr>
          <w:lang w:val="fr-CA"/>
        </w:rPr>
        <w:t xml:space="preserve">Littératie braille Canada. 2024. Accessible </w:t>
      </w:r>
      <w:proofErr w:type="spellStart"/>
      <w:r w:rsidRPr="00EA167A">
        <w:rPr>
          <w:lang w:val="fr-CA"/>
        </w:rPr>
        <w:t>Signage</w:t>
      </w:r>
      <w:proofErr w:type="spellEnd"/>
      <w:r w:rsidRPr="00EA167A">
        <w:rPr>
          <w:lang w:val="fr-CA"/>
        </w:rPr>
        <w:t xml:space="preserve"> Guidelines (Word)</w:t>
      </w:r>
      <w:proofErr w:type="gramStart"/>
      <w:r w:rsidR="005B2689" w:rsidRPr="00EA167A">
        <w:rPr>
          <w:lang w:val="fr-CA"/>
        </w:rPr>
        <w:t>—</w:t>
      </w:r>
      <w:r w:rsidR="00076C73" w:rsidRPr="00EA167A">
        <w:rPr>
          <w:lang w:val="fr-CA"/>
        </w:rPr>
        <w:t>(</w:t>
      </w:r>
      <w:proofErr w:type="gramEnd"/>
      <w:r w:rsidRPr="00EA167A">
        <w:rPr>
          <w:lang w:val="fr-CA"/>
        </w:rPr>
        <w:t>en anglais seulement</w:t>
      </w:r>
      <w:r w:rsidR="00076C73" w:rsidRPr="00EA167A">
        <w:rPr>
          <w:lang w:val="fr-CA"/>
        </w:rPr>
        <w:t xml:space="preserve">) </w:t>
      </w:r>
      <w:r w:rsidR="00076C73">
        <w:fldChar w:fldCharType="begin"/>
      </w:r>
      <w:r w:rsidR="00076C73" w:rsidRPr="007C0FBA">
        <w:rPr>
          <w:lang w:val="fr-CA"/>
        </w:rPr>
        <w:instrText>HYPERLINK "https://www.brailleliteracycanada.ca/storage/standards/BLC%20Accessible%20Signage%20Guidelines%202024.docx" \h</w:instrText>
      </w:r>
      <w:r w:rsidR="00076C73">
        <w:fldChar w:fldCharType="separate"/>
      </w:r>
      <w:r w:rsidR="00076C73" w:rsidRPr="00EA167A">
        <w:rPr>
          <w:rStyle w:val="Hyperlink"/>
          <w:lang w:val="fr-CA"/>
        </w:rPr>
        <w:t>https://www.brailleliteracycanada.ca/storage/standards/BLC%20Accessible%20Signage%20Guidelines%202024.docx</w:t>
      </w:r>
      <w:r w:rsidR="00076C73">
        <w:fldChar w:fldCharType="end"/>
      </w:r>
    </w:p>
    <w:p w14:paraId="4E8A1D5F" w14:textId="77777777" w:rsidR="00076C73" w:rsidRDefault="00AE2928" w:rsidP="009B07D5">
      <w:pPr>
        <w:rPr>
          <w:lang w:val="fr-CA"/>
        </w:rPr>
      </w:pPr>
      <w:r>
        <w:rPr>
          <w:lang w:val="fr-CA"/>
        </w:rPr>
        <w:t xml:space="preserve">Fondation INCA. </w:t>
      </w:r>
      <w:r w:rsidR="00306842">
        <w:rPr>
          <w:lang w:val="fr-CA"/>
        </w:rPr>
        <w:t>É</w:t>
      </w:r>
      <w:r>
        <w:rPr>
          <w:lang w:val="fr-CA"/>
        </w:rPr>
        <w:t>liminons les barrières a</w:t>
      </w:r>
      <w:r w:rsidR="00F50514">
        <w:rPr>
          <w:lang w:val="fr-CA"/>
        </w:rPr>
        <w:t>r</w:t>
      </w:r>
      <w:r>
        <w:rPr>
          <w:lang w:val="fr-CA"/>
        </w:rPr>
        <w:t>chitecturales</w:t>
      </w:r>
      <w:r w:rsidR="00F50514">
        <w:rPr>
          <w:lang w:val="fr-CA"/>
        </w:rPr>
        <w:t xml:space="preserve"> </w:t>
      </w:r>
      <w:r w:rsidR="000E648D">
        <w:fldChar w:fldCharType="begin"/>
      </w:r>
      <w:r w:rsidR="000E648D" w:rsidRPr="007C0FBA">
        <w:rPr>
          <w:lang w:val="fr-CA"/>
        </w:rPr>
        <w:instrText>HYPERLINK "https://clearingourpath.ca/index.php/language/fr/accueil/"</w:instrText>
      </w:r>
      <w:r w:rsidR="000E648D">
        <w:fldChar w:fldCharType="separate"/>
      </w:r>
      <w:r w:rsidR="000E648D" w:rsidRPr="000E1F6C">
        <w:rPr>
          <w:rStyle w:val="Hyperlink"/>
          <w:lang w:val="fr-CA"/>
        </w:rPr>
        <w:t>https://clearingourpath.ca/index.php/language/fr/accueil/</w:t>
      </w:r>
      <w:r w:rsidR="000E648D">
        <w:fldChar w:fldCharType="end"/>
      </w:r>
      <w:r>
        <w:rPr>
          <w:lang w:val="fr-CA"/>
        </w:rPr>
        <w:t xml:space="preserve">Fondation INCA. </w:t>
      </w:r>
    </w:p>
    <w:p w14:paraId="3DCA1479" w14:textId="77777777" w:rsidR="00076C73" w:rsidRDefault="00076C73">
      <w:pPr>
        <w:keepLines w:val="0"/>
        <w:spacing w:before="0" w:beforeAutospacing="0" w:line="259" w:lineRule="auto"/>
        <w:rPr>
          <w:lang w:val="fr-CA"/>
        </w:rPr>
      </w:pPr>
      <w:r>
        <w:rPr>
          <w:lang w:val="fr-CA"/>
        </w:rPr>
        <w:br w:type="page"/>
      </w:r>
    </w:p>
    <w:p w14:paraId="52BCD7CA" w14:textId="23959D8E" w:rsidR="000A5BAC" w:rsidRDefault="002907EE" w:rsidP="009B07D5">
      <w:pPr>
        <w:rPr>
          <w:lang w:val="fr-CA"/>
        </w:rPr>
      </w:pPr>
      <w:r>
        <w:rPr>
          <w:lang w:val="fr-CA"/>
        </w:rPr>
        <w:lastRenderedPageBreak/>
        <w:t>Éliminons</w:t>
      </w:r>
      <w:r w:rsidR="00AE2928">
        <w:rPr>
          <w:lang w:val="fr-CA"/>
        </w:rPr>
        <w:t xml:space="preserve"> les barrières a</w:t>
      </w:r>
      <w:r w:rsidR="00F50514">
        <w:rPr>
          <w:lang w:val="fr-CA"/>
        </w:rPr>
        <w:t>r</w:t>
      </w:r>
      <w:r w:rsidR="00AE2928">
        <w:rPr>
          <w:lang w:val="fr-CA"/>
        </w:rPr>
        <w:t>chitecturales</w:t>
      </w:r>
      <w:r w:rsidR="00F50514">
        <w:rPr>
          <w:lang w:val="fr-CA"/>
        </w:rPr>
        <w:t xml:space="preserve"> </w:t>
      </w:r>
      <w:r w:rsidR="000E648D">
        <w:fldChar w:fldCharType="begin"/>
      </w:r>
      <w:r w:rsidR="000E648D" w:rsidRPr="007C0FBA">
        <w:rPr>
          <w:lang w:val="fr-CA"/>
        </w:rPr>
        <w:instrText>HYPERLINK "https://clearingourpath.ca/index.php/language/fr/accueil/"</w:instrText>
      </w:r>
      <w:r w:rsidR="000E648D">
        <w:fldChar w:fldCharType="separate"/>
      </w:r>
      <w:r w:rsidR="000E648D" w:rsidRPr="000E1F6C">
        <w:rPr>
          <w:rStyle w:val="Hyperlink"/>
          <w:lang w:val="fr-CA"/>
        </w:rPr>
        <w:t>https://clearingourpath.ca/index.php/language/fr/accueil/</w:t>
      </w:r>
      <w:r w:rsidR="000E648D">
        <w:fldChar w:fldCharType="end"/>
      </w:r>
    </w:p>
    <w:p w14:paraId="04ABB47E" w14:textId="220B6CD0" w:rsidR="009B07D5" w:rsidRDefault="009B07D5" w:rsidP="009B07D5">
      <w:pPr>
        <w:rPr>
          <w:lang w:val="fr-CA"/>
        </w:rPr>
      </w:pPr>
      <w:r w:rsidRPr="00F63B64">
        <w:rPr>
          <w:lang w:val="fr-CA"/>
        </w:rPr>
        <w:t xml:space="preserve">Fondation </w:t>
      </w:r>
      <w:r w:rsidR="000E648D">
        <w:rPr>
          <w:lang w:val="fr-CA"/>
        </w:rPr>
        <w:t>INCA</w:t>
      </w:r>
      <w:r w:rsidRPr="00F63B64">
        <w:rPr>
          <w:lang w:val="fr-CA"/>
        </w:rPr>
        <w:t xml:space="preserve">. </w:t>
      </w:r>
      <w:r w:rsidR="002907EE">
        <w:rPr>
          <w:lang w:val="fr-CA"/>
        </w:rPr>
        <w:t>Éliminons les barrières architecturales</w:t>
      </w:r>
      <w:r w:rsidR="004A0CDA">
        <w:rPr>
          <w:lang w:val="fr-CA"/>
        </w:rPr>
        <w:t> </w:t>
      </w:r>
      <w:r w:rsidRPr="00F63B64">
        <w:rPr>
          <w:lang w:val="fr-CA"/>
        </w:rPr>
        <w:t xml:space="preserve">: </w:t>
      </w:r>
      <w:proofErr w:type="spellStart"/>
      <w:r w:rsidR="002907EE">
        <w:rPr>
          <w:lang w:val="fr-CA"/>
        </w:rPr>
        <w:t>Repport</w:t>
      </w:r>
      <w:proofErr w:type="spellEnd"/>
      <w:r w:rsidR="002907EE">
        <w:rPr>
          <w:lang w:val="fr-CA"/>
        </w:rPr>
        <w:t xml:space="preserve"> final- O</w:t>
      </w:r>
      <w:r w:rsidR="00034F5F">
        <w:rPr>
          <w:lang w:val="fr-CA"/>
        </w:rPr>
        <w:t>u</w:t>
      </w:r>
      <w:r w:rsidR="002907EE">
        <w:rPr>
          <w:lang w:val="fr-CA"/>
        </w:rPr>
        <w:t xml:space="preserve">vrir la voie- </w:t>
      </w:r>
      <w:r w:rsidR="007F3276">
        <w:rPr>
          <w:lang w:val="fr-CA"/>
        </w:rPr>
        <w:t>Projet ASC</w:t>
      </w:r>
      <w:r w:rsidRPr="00F63B64">
        <w:rPr>
          <w:lang w:val="fr-CA"/>
        </w:rPr>
        <w:t xml:space="preserve"> </w:t>
      </w:r>
      <w:r w:rsidR="00A80786">
        <w:fldChar w:fldCharType="begin"/>
      </w:r>
      <w:r w:rsidR="00A80786" w:rsidRPr="007C0FBA">
        <w:rPr>
          <w:lang w:val="fr-CA"/>
        </w:rPr>
        <w:instrText>HYPERLINK "https://clearingourpath.ca/index.php/language/fr/repport-final-ouvrir-la-voie-projet-asc/"</w:instrText>
      </w:r>
      <w:r w:rsidR="00A80786">
        <w:fldChar w:fldCharType="separate"/>
      </w:r>
      <w:r w:rsidR="00A80786" w:rsidRPr="000E1F6C">
        <w:rPr>
          <w:rStyle w:val="Hyperlink"/>
          <w:lang w:val="fr-CA"/>
        </w:rPr>
        <w:t>https://clearingourpath.ca/index.php/language/fr/repport-final-ouvrir-la-voie-projet-asc/</w:t>
      </w:r>
      <w:r w:rsidR="00A80786">
        <w:fldChar w:fldCharType="end"/>
      </w:r>
    </w:p>
    <w:p w14:paraId="4A37FF51" w14:textId="4C5F9AD2" w:rsidR="009B07D5" w:rsidRPr="00E058BF" w:rsidRDefault="009B07D5" w:rsidP="009B07D5">
      <w:r w:rsidRPr="004852D2">
        <w:t>D</w:t>
      </w:r>
      <w:r w:rsidR="00FA0EA5">
        <w:t>’</w:t>
      </w:r>
      <w:r w:rsidRPr="004852D2">
        <w:t>Souza,</w:t>
      </w:r>
      <w:r w:rsidR="00A80786">
        <w:t xml:space="preserve"> C.,</w:t>
      </w:r>
      <w:r w:rsidRPr="004852D2">
        <w:t xml:space="preserve"> </w:t>
      </w:r>
      <w:r w:rsidR="00A80786">
        <w:t>S</w:t>
      </w:r>
      <w:r w:rsidRPr="004852D2">
        <w:t>teinfeld,</w:t>
      </w:r>
      <w:r w:rsidR="00A80786">
        <w:t xml:space="preserve"> E.,</w:t>
      </w:r>
      <w:r w:rsidRPr="004852D2">
        <w:t xml:space="preserve"> Paquet,</w:t>
      </w:r>
      <w:r w:rsidR="00F02C8B">
        <w:t xml:space="preserve"> V.,</w:t>
      </w:r>
      <w:r w:rsidR="00B637FC">
        <w:t xml:space="preserve"> and Feathers, D. 2011.</w:t>
      </w:r>
      <w:r w:rsidRPr="004852D2">
        <w:t xml:space="preserve"> </w:t>
      </w:r>
      <w:r w:rsidR="008A1379" w:rsidRPr="008A1379">
        <w:t>Design Resources DR-20 Functional Reach Capability for Wheeled Mobility Users. Centre for Inclusive Design and Environmental Access</w:t>
      </w:r>
      <w:r w:rsidR="00C32317">
        <w:t xml:space="preserve"> (</w:t>
      </w:r>
      <w:proofErr w:type="spellStart"/>
      <w:r w:rsidR="00C32317">
        <w:t>en</w:t>
      </w:r>
      <w:proofErr w:type="spellEnd"/>
      <w:r w:rsidR="00C32317">
        <w:t xml:space="preserve"> anglais </w:t>
      </w:r>
      <w:proofErr w:type="spellStart"/>
      <w:r w:rsidR="00C32317">
        <w:t>seulement</w:t>
      </w:r>
      <w:proofErr w:type="spellEnd"/>
      <w:r w:rsidR="00C32317">
        <w:t xml:space="preserve">) </w:t>
      </w:r>
      <w:hyperlink r:id="rId26" w:history="1">
        <w:r w:rsidR="00C32317" w:rsidRPr="000E1F6C">
          <w:rPr>
            <w:rStyle w:val="Hyperlink"/>
          </w:rPr>
          <w:t>http://idea.ap.buffalo.edu/wp-content/uploads/sites/110/2019/08/20.pdf</w:t>
        </w:r>
      </w:hyperlink>
    </w:p>
    <w:p w14:paraId="4345BB98" w14:textId="5CDFEA96" w:rsidR="00A16CD7" w:rsidRPr="008A0624" w:rsidRDefault="009B07D5" w:rsidP="009B07D5">
      <w:r w:rsidRPr="004852D2">
        <w:t xml:space="preserve">Lei, D., Stepien-Bernabe, N. N., Morash, V. S., </w:t>
      </w:r>
      <w:r w:rsidR="00E73499">
        <w:t>and</w:t>
      </w:r>
      <w:r w:rsidRPr="004852D2">
        <w:t xml:space="preserve"> </w:t>
      </w:r>
      <w:proofErr w:type="spellStart"/>
      <w:r w:rsidRPr="004852D2">
        <w:t>MacKeben</w:t>
      </w:r>
      <w:proofErr w:type="spellEnd"/>
      <w:r w:rsidRPr="004852D2">
        <w:t xml:space="preserve">, M. 2019. </w:t>
      </w:r>
      <w:r w:rsidR="00A16CD7" w:rsidRPr="00A16CD7">
        <w:t xml:space="preserve">Effect of modulating braille dot height on reading regressions. </w:t>
      </w:r>
      <w:r w:rsidR="00A16CD7" w:rsidRPr="008A0624">
        <w:t>PLOS ONE, 14(4), e0214799 (</w:t>
      </w:r>
      <w:proofErr w:type="spellStart"/>
      <w:r w:rsidR="00A16CD7" w:rsidRPr="008A0624">
        <w:t>en</w:t>
      </w:r>
      <w:proofErr w:type="spellEnd"/>
      <w:r w:rsidR="00A16CD7" w:rsidRPr="008A0624">
        <w:t xml:space="preserve"> anglais </w:t>
      </w:r>
      <w:proofErr w:type="spellStart"/>
      <w:r w:rsidR="00A16CD7" w:rsidRPr="008A0624">
        <w:t>seulement</w:t>
      </w:r>
      <w:proofErr w:type="spellEnd"/>
      <w:r w:rsidR="00A16CD7" w:rsidRPr="008A0624">
        <w:t>)</w:t>
      </w:r>
      <w:r w:rsidRPr="008A0624">
        <w:t xml:space="preserve"> </w:t>
      </w:r>
      <w:hyperlink r:id="rId27" w:history="1">
        <w:r w:rsidR="00E63BFD" w:rsidRPr="008A0624">
          <w:rPr>
            <w:rStyle w:val="Hyperlink"/>
          </w:rPr>
          <w:t>https://doi.org/10.1371/journal.pone.0214799</w:t>
        </w:r>
      </w:hyperlink>
    </w:p>
    <w:p w14:paraId="12ACD886" w14:textId="58629026" w:rsidR="009D60CC" w:rsidRDefault="009B07D5" w:rsidP="009B07D5">
      <w:proofErr w:type="spellStart"/>
      <w:r w:rsidRPr="004852D2">
        <w:t>Zivarts</w:t>
      </w:r>
      <w:proofErr w:type="spellEnd"/>
      <w:r w:rsidRPr="004852D2">
        <w:t xml:space="preserve">, A. L. 2024. </w:t>
      </w:r>
      <w:r w:rsidR="009D60CC" w:rsidRPr="009D60CC">
        <w:t xml:space="preserve">When driving is not an option. </w:t>
      </w:r>
      <w:r w:rsidR="009D60CC" w:rsidRPr="00411F2A">
        <w:t>Island Press</w:t>
      </w:r>
      <w:r w:rsidR="00411F2A" w:rsidRPr="00411F2A">
        <w:t xml:space="preserve"> </w:t>
      </w:r>
      <w:hyperlink r:id="rId28" w:anchor="desc" w:history="1">
        <w:r w:rsidR="00411F2A" w:rsidRPr="000E1F6C">
          <w:rPr>
            <w:rStyle w:val="Hyperlink"/>
          </w:rPr>
          <w:t>https://islandpress.org/books/when-driving-not-option#desc</w:t>
        </w:r>
      </w:hyperlink>
    </w:p>
    <w:p w14:paraId="4F4FA595" w14:textId="01FAAF75" w:rsidR="00330181" w:rsidRPr="00945B80" w:rsidRDefault="009B07D5" w:rsidP="009B07D5">
      <w:proofErr w:type="spellStart"/>
      <w:r w:rsidRPr="004852D2">
        <w:t>Swobodzinski</w:t>
      </w:r>
      <w:proofErr w:type="spellEnd"/>
      <w:r w:rsidRPr="004852D2">
        <w:t>, M., Parker, A., Schaller, E</w:t>
      </w:r>
      <w:r w:rsidR="00CE74E7">
        <w:t>.</w:t>
      </w:r>
      <w:r w:rsidRPr="004852D2">
        <w:t>,</w:t>
      </w:r>
      <w:r w:rsidR="00CE74E7">
        <w:t xml:space="preserve"> and</w:t>
      </w:r>
      <w:r w:rsidRPr="004852D2">
        <w:t xml:space="preserve"> Snow, D. 2022. </w:t>
      </w:r>
      <w:r w:rsidR="00284AFF" w:rsidRPr="00284AFF">
        <w:t xml:space="preserve">Pedestrian Wayfinding Under Consideration of Visual Impairment, Blindness, and </w:t>
      </w:r>
      <w:proofErr w:type="spellStart"/>
      <w:r w:rsidR="00284AFF" w:rsidRPr="00284AFF">
        <w:t>Deafblindness</w:t>
      </w:r>
      <w:proofErr w:type="spellEnd"/>
      <w:r w:rsidR="00284AFF" w:rsidRPr="00284AFF">
        <w:t xml:space="preserve">: A Mixed-Method Investigation </w:t>
      </w:r>
      <w:proofErr w:type="gramStart"/>
      <w:r w:rsidR="00284AFF" w:rsidRPr="00284AFF">
        <w:t>Into</w:t>
      </w:r>
      <w:proofErr w:type="gramEnd"/>
      <w:r w:rsidR="00284AFF" w:rsidRPr="00284AFF">
        <w:t xml:space="preserve"> Individual Experiences and Supporting Elements-Final Report 1327. </w:t>
      </w:r>
      <w:r w:rsidR="00284AFF" w:rsidRPr="00945B80">
        <w:t>National Institute for Transportation and Communities (</w:t>
      </w:r>
      <w:proofErr w:type="spellStart"/>
      <w:r w:rsidR="00284AFF" w:rsidRPr="00945B80">
        <w:t>en</w:t>
      </w:r>
      <w:proofErr w:type="spellEnd"/>
      <w:r w:rsidR="00284AFF" w:rsidRPr="00945B80">
        <w:t xml:space="preserve"> anglais </w:t>
      </w:r>
      <w:proofErr w:type="spellStart"/>
      <w:r w:rsidR="00284AFF" w:rsidRPr="00945B80">
        <w:t>seulement</w:t>
      </w:r>
      <w:proofErr w:type="spellEnd"/>
      <w:r w:rsidR="00284AFF" w:rsidRPr="00945B80">
        <w:t>)</w:t>
      </w:r>
      <w:r w:rsidR="00330181" w:rsidRPr="00945B80">
        <w:t xml:space="preserve"> </w:t>
      </w:r>
      <w:hyperlink r:id="rId29" w:history="1">
        <w:r w:rsidR="00330181" w:rsidRPr="00945B80">
          <w:rPr>
            <w:rStyle w:val="Hyperlink"/>
          </w:rPr>
          <w:t>https://rosap.ntl.bts.gov/view/dot/64796</w:t>
        </w:r>
      </w:hyperlink>
    </w:p>
    <w:p w14:paraId="572D82D5" w14:textId="06AB34DC" w:rsidR="000B6BDD" w:rsidRPr="00542AA8" w:rsidRDefault="000B6BDD" w:rsidP="000B6BDD">
      <w:pPr>
        <w:rPr>
          <w:lang w:val="fr-CA"/>
        </w:rPr>
      </w:pPr>
      <w:r>
        <w:t xml:space="preserve">Parker, A.T., </w:t>
      </w:r>
      <w:proofErr w:type="spellStart"/>
      <w:r>
        <w:t>Swobodzinski</w:t>
      </w:r>
      <w:proofErr w:type="spellEnd"/>
      <w:r>
        <w:t xml:space="preserve">, M., Brown-Ogilvie, T., and </w:t>
      </w:r>
      <w:proofErr w:type="spellStart"/>
      <w:r>
        <w:t>Beresheim</w:t>
      </w:r>
      <w:proofErr w:type="spellEnd"/>
      <w:r>
        <w:t xml:space="preserve">-Kools, J. 2020. The Use of Wayfinding Apps by Deafblind Travelers in an Urban Environment: Insights </w:t>
      </w:r>
      <w:proofErr w:type="gramStart"/>
      <w:r>
        <w:t>From</w:t>
      </w:r>
      <w:proofErr w:type="gramEnd"/>
      <w:r>
        <w:t xml:space="preserve"> Focused Groups. </w:t>
      </w:r>
      <w:proofErr w:type="spellStart"/>
      <w:r w:rsidRPr="00542AA8">
        <w:rPr>
          <w:lang w:val="fr-CA"/>
        </w:rPr>
        <w:t>Frontiers</w:t>
      </w:r>
      <w:proofErr w:type="spellEnd"/>
      <w:r w:rsidRPr="00542AA8">
        <w:rPr>
          <w:lang w:val="fr-CA"/>
        </w:rPr>
        <w:t xml:space="preserve"> </w:t>
      </w:r>
      <w:proofErr w:type="spellStart"/>
      <w:r w:rsidRPr="00542AA8">
        <w:rPr>
          <w:lang w:val="fr-CA"/>
        </w:rPr>
        <w:t>Education</w:t>
      </w:r>
      <w:proofErr w:type="spellEnd"/>
      <w:r w:rsidRPr="00542AA8">
        <w:rPr>
          <w:lang w:val="fr-CA"/>
        </w:rPr>
        <w:t>, 5:572641</w:t>
      </w:r>
      <w:r w:rsidR="00542AA8" w:rsidRPr="00542AA8">
        <w:rPr>
          <w:lang w:val="fr-CA"/>
        </w:rPr>
        <w:t xml:space="preserve"> (en </w:t>
      </w:r>
      <w:r w:rsidR="00542AA8">
        <w:rPr>
          <w:lang w:val="fr-CA"/>
        </w:rPr>
        <w:t>anglais seulement)</w:t>
      </w:r>
      <w:r w:rsidRPr="00542AA8">
        <w:rPr>
          <w:lang w:val="fr-CA"/>
        </w:rPr>
        <w:t xml:space="preserve"> </w:t>
      </w:r>
      <w:r>
        <w:fldChar w:fldCharType="begin"/>
      </w:r>
      <w:r w:rsidRPr="007C0FBA">
        <w:rPr>
          <w:lang w:val="fr-CA"/>
        </w:rPr>
        <w:instrText>HYPERLINK "https://www.frontiersin.org/journals/education/articles/10.3389/feduc.2020.572641/full"</w:instrText>
      </w:r>
      <w:r>
        <w:fldChar w:fldCharType="separate"/>
      </w:r>
      <w:r w:rsidRPr="00542AA8">
        <w:rPr>
          <w:rStyle w:val="Hyperlink"/>
          <w:lang w:val="fr-CA"/>
        </w:rPr>
        <w:t>https://www.frontiersin.org/journals/education/articles/10.3389/feduc.2020.572641/full</w:t>
      </w:r>
      <w:r>
        <w:fldChar w:fldCharType="end"/>
      </w:r>
    </w:p>
    <w:p w14:paraId="116292C2" w14:textId="4C861962" w:rsidR="00826379" w:rsidRPr="00542AA8" w:rsidRDefault="000B6BDD" w:rsidP="000B6BDD">
      <w:pPr>
        <w:rPr>
          <w:lang w:val="fr-CA"/>
        </w:rPr>
      </w:pPr>
      <w:r>
        <w:lastRenderedPageBreak/>
        <w:t xml:space="preserve">Parker, A.T., </w:t>
      </w:r>
      <w:proofErr w:type="spellStart"/>
      <w:r>
        <w:t>Swobodzinski</w:t>
      </w:r>
      <w:proofErr w:type="spellEnd"/>
      <w:r>
        <w:t xml:space="preserve">, M., Wright, J., Hansen, K., Morton, B., and Schaller, E. 2021. Wayfinding Tools for People with Visual Impairments in Real-World Settings: A Literature Review of Recent Studies. </w:t>
      </w:r>
      <w:proofErr w:type="spellStart"/>
      <w:r w:rsidRPr="00542AA8">
        <w:rPr>
          <w:lang w:val="fr-CA"/>
        </w:rPr>
        <w:t>Frontiers</w:t>
      </w:r>
      <w:proofErr w:type="spellEnd"/>
      <w:r w:rsidRPr="00542AA8">
        <w:rPr>
          <w:lang w:val="fr-CA"/>
        </w:rPr>
        <w:t xml:space="preserve"> in </w:t>
      </w:r>
      <w:proofErr w:type="spellStart"/>
      <w:r w:rsidRPr="00542AA8">
        <w:rPr>
          <w:lang w:val="fr-CA"/>
        </w:rPr>
        <w:t>Education</w:t>
      </w:r>
      <w:proofErr w:type="spellEnd"/>
      <w:r w:rsidRPr="00542AA8">
        <w:rPr>
          <w:lang w:val="fr-CA"/>
        </w:rPr>
        <w:t>, 6:723816</w:t>
      </w:r>
      <w:r w:rsidR="00542AA8" w:rsidRPr="00542AA8">
        <w:rPr>
          <w:lang w:val="fr-CA"/>
        </w:rPr>
        <w:t xml:space="preserve"> (en anglais </w:t>
      </w:r>
      <w:r w:rsidR="00542AA8">
        <w:rPr>
          <w:lang w:val="fr-CA"/>
        </w:rPr>
        <w:t>seulement)</w:t>
      </w:r>
      <w:r w:rsidRPr="00542AA8">
        <w:rPr>
          <w:lang w:val="fr-CA"/>
        </w:rPr>
        <w:t xml:space="preserve"> </w:t>
      </w:r>
      <w:r w:rsidR="009B07D5">
        <w:fldChar w:fldCharType="begin"/>
      </w:r>
      <w:r w:rsidR="009B07D5" w:rsidRPr="007C0FBA">
        <w:rPr>
          <w:lang w:val="fr-CA"/>
        </w:rPr>
        <w:instrText>HYPERLINK "https://www.frontiersin.org/journals/education/articles/10.3389/feduc.2021.723816/full"</w:instrText>
      </w:r>
      <w:r w:rsidR="009B07D5">
        <w:fldChar w:fldCharType="separate"/>
      </w:r>
      <w:r w:rsidR="009B07D5" w:rsidRPr="00542AA8">
        <w:rPr>
          <w:rStyle w:val="Hyperlink"/>
          <w:lang w:val="fr-CA"/>
        </w:rPr>
        <w:t>https://www.frontiersin.org/journals/education/articles/10.3389/feduc.2021.723816/full</w:t>
      </w:r>
      <w:r w:rsidR="009B07D5">
        <w:fldChar w:fldCharType="end"/>
      </w:r>
    </w:p>
    <w:p w14:paraId="189EC04D" w14:textId="118F5EBD" w:rsidR="009B07D5" w:rsidRDefault="002C68C0" w:rsidP="009B07D5">
      <w:pPr>
        <w:pStyle w:val="Heading2"/>
      </w:pPr>
      <w:bookmarkStart w:id="696" w:name="_Toc219706269"/>
      <w:r>
        <w:t>Publications</w:t>
      </w:r>
      <w:bookmarkEnd w:id="696"/>
    </w:p>
    <w:p w14:paraId="1A4F7C3E" w14:textId="311C58BD" w:rsidR="008D41BD" w:rsidRPr="00D14AA3" w:rsidRDefault="008D41BD" w:rsidP="00E46F63">
      <w:r w:rsidRPr="008D41BD">
        <w:t xml:space="preserve">Abel-Williamson, M. 2015. World Blind Union External Resource Paper: Universal Design. </w:t>
      </w:r>
      <w:r w:rsidRPr="008A0624">
        <w:t xml:space="preserve">World Blind Union. </w:t>
      </w:r>
      <w:r w:rsidRPr="00D14AA3">
        <w:t>(</w:t>
      </w:r>
      <w:proofErr w:type="spellStart"/>
      <w:r w:rsidR="00CC1309">
        <w:t>e</w:t>
      </w:r>
      <w:r w:rsidRPr="00D14AA3">
        <w:t>n</w:t>
      </w:r>
      <w:proofErr w:type="spellEnd"/>
      <w:r w:rsidRPr="00D14AA3">
        <w:t xml:space="preserve"> anglais </w:t>
      </w:r>
      <w:proofErr w:type="spellStart"/>
      <w:r w:rsidRPr="00D14AA3">
        <w:t>seulement</w:t>
      </w:r>
      <w:proofErr w:type="spellEnd"/>
      <w:r w:rsidRPr="00D14AA3">
        <w:t>)</w:t>
      </w:r>
    </w:p>
    <w:p w14:paraId="2D835C66" w14:textId="3A998B61" w:rsidR="00D14AA3" w:rsidRDefault="00D14AA3" w:rsidP="00E46F63">
      <w:r w:rsidRPr="00D14AA3">
        <w:t>Accessibility Now (2490196 Ontario Inc. (</w:t>
      </w:r>
      <w:proofErr w:type="spellStart"/>
      <w:r w:rsidRPr="00D14AA3">
        <w:t>AccessNow</w:t>
      </w:r>
      <w:proofErr w:type="spellEnd"/>
      <w:r w:rsidRPr="00D14AA3">
        <w:t>)). 2023. Mapping Our Cities for All. (</w:t>
      </w:r>
      <w:proofErr w:type="spellStart"/>
      <w:r w:rsidR="00CC1309">
        <w:t>e</w:t>
      </w:r>
      <w:r>
        <w:t>n</w:t>
      </w:r>
      <w:proofErr w:type="spellEnd"/>
      <w:r>
        <w:t xml:space="preserve"> anglais </w:t>
      </w:r>
      <w:proofErr w:type="spellStart"/>
      <w:r>
        <w:t>seulement</w:t>
      </w:r>
      <w:proofErr w:type="spellEnd"/>
      <w:r w:rsidRPr="00D14AA3">
        <w:t>)</w:t>
      </w:r>
    </w:p>
    <w:p w14:paraId="2AAC7870" w14:textId="16103FE4" w:rsidR="00C908F7" w:rsidRPr="008A0624" w:rsidRDefault="00C908F7" w:rsidP="00E46F63">
      <w:pPr>
        <w:rPr>
          <w:lang w:val="fr-CA"/>
        </w:rPr>
      </w:pPr>
      <w:r w:rsidRPr="00C908F7">
        <w:t xml:space="preserve">British Columbia Aboriginal Network on Disability Society. </w:t>
      </w:r>
      <w:r w:rsidRPr="007C0FBA">
        <w:rPr>
          <w:lang w:val="fr-CA"/>
        </w:rPr>
        <w:t>2025. First Nations Accessibility Standards</w:t>
      </w:r>
      <w:r w:rsidR="005B2689" w:rsidRPr="007C0FBA">
        <w:rPr>
          <w:lang w:val="fr-CA"/>
        </w:rPr>
        <w:t>—</w:t>
      </w:r>
      <w:r w:rsidRPr="007C0FBA">
        <w:rPr>
          <w:lang w:val="fr-CA"/>
        </w:rPr>
        <w:t xml:space="preserve">A Path Forward to Inclusion. </w:t>
      </w:r>
      <w:r w:rsidRPr="008A0624">
        <w:rPr>
          <w:lang w:val="fr-CA"/>
        </w:rPr>
        <w:t>(</w:t>
      </w:r>
      <w:proofErr w:type="gramStart"/>
      <w:r w:rsidR="00CC1309">
        <w:rPr>
          <w:lang w:val="fr-CA"/>
        </w:rPr>
        <w:t>e</w:t>
      </w:r>
      <w:r w:rsidRPr="008A0624">
        <w:rPr>
          <w:lang w:val="fr-CA"/>
        </w:rPr>
        <w:t>n</w:t>
      </w:r>
      <w:proofErr w:type="gramEnd"/>
      <w:r w:rsidRPr="008A0624">
        <w:rPr>
          <w:lang w:val="fr-CA"/>
        </w:rPr>
        <w:t xml:space="preserve"> anglais seulement)</w:t>
      </w:r>
    </w:p>
    <w:p w14:paraId="460C1BDC" w14:textId="71D766CE" w:rsidR="00E46F63" w:rsidRPr="00F63B64" w:rsidRDefault="00E46F63" w:rsidP="00E46F63">
      <w:pPr>
        <w:rPr>
          <w:lang w:val="fr-CA"/>
        </w:rPr>
      </w:pPr>
      <w:r w:rsidRPr="00F63B64">
        <w:rPr>
          <w:lang w:val="fr-CA"/>
        </w:rPr>
        <w:t xml:space="preserve">Association </w:t>
      </w:r>
      <w:r w:rsidR="00794E33">
        <w:rPr>
          <w:lang w:val="fr-CA"/>
        </w:rPr>
        <w:t>des Sourds du Canada</w:t>
      </w:r>
      <w:r w:rsidRPr="00F63B64">
        <w:rPr>
          <w:lang w:val="fr-CA"/>
        </w:rPr>
        <w:t>. 2023. Faire progresser les normes d</w:t>
      </w:r>
      <w:r w:rsidR="003E4D97">
        <w:rPr>
          <w:lang w:val="fr-CA"/>
        </w:rPr>
        <w:t>’</w:t>
      </w:r>
      <w:r w:rsidRPr="00F63B64">
        <w:rPr>
          <w:lang w:val="fr-CA"/>
        </w:rPr>
        <w:t>accessibilité pour les Canadiens sourds, sourds-aveugles et malentendants.</w:t>
      </w:r>
    </w:p>
    <w:p w14:paraId="59959572" w14:textId="0C67CCE1" w:rsidR="00E46F63" w:rsidRPr="00F63B64" w:rsidRDefault="00E46F63" w:rsidP="00E46F63">
      <w:pPr>
        <w:rPr>
          <w:lang w:val="fr-CA"/>
        </w:rPr>
      </w:pPr>
      <w:r w:rsidRPr="00F63B64">
        <w:rPr>
          <w:lang w:val="fr-CA"/>
        </w:rPr>
        <w:t xml:space="preserve">Association </w:t>
      </w:r>
      <w:r w:rsidR="00DA40C4">
        <w:rPr>
          <w:lang w:val="fr-CA"/>
        </w:rPr>
        <w:t>des Sourds du Canada</w:t>
      </w:r>
      <w:r w:rsidRPr="00F63B64">
        <w:rPr>
          <w:lang w:val="fr-CA"/>
        </w:rPr>
        <w:t xml:space="preserve">. 2025. Vagues </w:t>
      </w:r>
      <w:r w:rsidR="00361274">
        <w:rPr>
          <w:lang w:val="fr-CA"/>
        </w:rPr>
        <w:t>tranquille</w:t>
      </w:r>
      <w:r w:rsidRPr="00F63B64">
        <w:rPr>
          <w:lang w:val="fr-CA"/>
        </w:rPr>
        <w:t>s</w:t>
      </w:r>
      <w:r w:rsidR="004A0CDA">
        <w:rPr>
          <w:lang w:val="fr-CA"/>
        </w:rPr>
        <w:t> </w:t>
      </w:r>
      <w:r w:rsidRPr="00F63B64">
        <w:rPr>
          <w:lang w:val="fr-CA"/>
        </w:rPr>
        <w:t>: expériences directes de</w:t>
      </w:r>
      <w:r w:rsidR="0011166E">
        <w:rPr>
          <w:lang w:val="fr-CA"/>
        </w:rPr>
        <w:t>s</w:t>
      </w:r>
      <w:r w:rsidRPr="00F63B64">
        <w:rPr>
          <w:lang w:val="fr-CA"/>
        </w:rPr>
        <w:t xml:space="preserve"> personnes sourdes, sourd</w:t>
      </w:r>
      <w:r w:rsidR="0020573F">
        <w:rPr>
          <w:lang w:val="fr-CA"/>
        </w:rPr>
        <w:t>-</w:t>
      </w:r>
      <w:r w:rsidRPr="00F63B64">
        <w:rPr>
          <w:lang w:val="fr-CA"/>
        </w:rPr>
        <w:t>aveugles et malentendantes</w:t>
      </w:r>
      <w:r w:rsidR="00C00393">
        <w:rPr>
          <w:lang w:val="fr-CA"/>
        </w:rPr>
        <w:t xml:space="preserve">. Rapport sur les obstacles </w:t>
      </w:r>
      <w:r w:rsidR="00371A7E">
        <w:rPr>
          <w:lang w:val="fr-CA"/>
        </w:rPr>
        <w:t>à</w:t>
      </w:r>
      <w:r w:rsidRPr="00F63B64">
        <w:rPr>
          <w:lang w:val="fr-CA"/>
        </w:rPr>
        <w:t xml:space="preserve"> la communication dans l</w:t>
      </w:r>
      <w:r w:rsidR="003E4D97">
        <w:rPr>
          <w:lang w:val="fr-CA"/>
        </w:rPr>
        <w:t>’</w:t>
      </w:r>
      <w:r w:rsidRPr="00F63B64">
        <w:rPr>
          <w:lang w:val="fr-CA"/>
        </w:rPr>
        <w:t>environnement bâti.</w:t>
      </w:r>
    </w:p>
    <w:p w14:paraId="5A931E0A" w14:textId="572FB1C1" w:rsidR="00E46F63" w:rsidRPr="00877353" w:rsidRDefault="00E46F63" w:rsidP="00E46F63">
      <w:pPr>
        <w:rPr>
          <w:lang w:val="fr-CA"/>
        </w:rPr>
      </w:pPr>
      <w:r w:rsidRPr="00877353">
        <w:rPr>
          <w:lang w:val="fr-CA"/>
        </w:rPr>
        <w:t xml:space="preserve">Institut national canadien pour les aveugles. s.d. Clearing Our </w:t>
      </w:r>
      <w:proofErr w:type="spellStart"/>
      <w:r w:rsidRPr="00877353">
        <w:rPr>
          <w:lang w:val="fr-CA"/>
        </w:rPr>
        <w:t>Way</w:t>
      </w:r>
      <w:proofErr w:type="spellEnd"/>
      <w:r w:rsidRPr="00877353">
        <w:rPr>
          <w:lang w:val="fr-CA"/>
        </w:rPr>
        <w:t>: Lignes directrices fondées sur des preuves sur l</w:t>
      </w:r>
      <w:r w:rsidR="003E4D97">
        <w:rPr>
          <w:lang w:val="fr-CA"/>
        </w:rPr>
        <w:t>’</w:t>
      </w:r>
      <w:r w:rsidRPr="00877353">
        <w:rPr>
          <w:lang w:val="fr-CA"/>
        </w:rPr>
        <w:t>accessibilité dans l</w:t>
      </w:r>
      <w:r w:rsidR="003E4D97">
        <w:rPr>
          <w:lang w:val="fr-CA"/>
        </w:rPr>
        <w:t>’</w:t>
      </w:r>
      <w:r w:rsidRPr="00877353">
        <w:rPr>
          <w:lang w:val="fr-CA"/>
        </w:rPr>
        <w:t>environnement bâti pour les personnes vivant avec une perte de vue.</w:t>
      </w:r>
    </w:p>
    <w:p w14:paraId="58F4477D" w14:textId="44968525" w:rsidR="00E46F63" w:rsidRPr="007C0FBA" w:rsidRDefault="00E46F63" w:rsidP="00E46F63">
      <w:r w:rsidRPr="00E46F63">
        <w:t>Carleton</w:t>
      </w:r>
      <w:r w:rsidR="009F23D5">
        <w:t xml:space="preserve"> University</w:t>
      </w:r>
      <w:r w:rsidRPr="00E46F63">
        <w:t>. 2023. Informing Standards for Acoustics and the Built Environment</w:t>
      </w:r>
      <w:r w:rsidR="00D23FB5">
        <w:t xml:space="preserve">. </w:t>
      </w:r>
      <w:r w:rsidR="00D23FB5" w:rsidRPr="007C0FBA">
        <w:t>(</w:t>
      </w:r>
      <w:r w:rsidR="00CC1309" w:rsidRPr="007C0FBA">
        <w:t>e</w:t>
      </w:r>
      <w:r w:rsidR="00D23FB5" w:rsidRPr="007C0FBA">
        <w:t>n anglais seulement)</w:t>
      </w:r>
    </w:p>
    <w:p w14:paraId="2E6768CB" w14:textId="5E499AAD" w:rsidR="00E46F63" w:rsidRPr="0039321E" w:rsidRDefault="00E46F63" w:rsidP="00E46F63">
      <w:pPr>
        <w:rPr>
          <w:lang w:val="fr-CA"/>
        </w:rPr>
      </w:pPr>
      <w:r w:rsidRPr="007C0FBA">
        <w:t>Carleton</w:t>
      </w:r>
      <w:r w:rsidR="00552F8C" w:rsidRPr="007C0FBA">
        <w:t xml:space="preserve"> University</w:t>
      </w:r>
      <w:r w:rsidRPr="007C0FBA">
        <w:t xml:space="preserve">. 2024. </w:t>
      </w:r>
      <w:r w:rsidRPr="00F63B64">
        <w:rPr>
          <w:lang w:val="fr-CA"/>
        </w:rPr>
        <w:t>A Neurodivergent Lens</w:t>
      </w:r>
      <w:r w:rsidR="004A0CDA">
        <w:rPr>
          <w:lang w:val="fr-CA"/>
        </w:rPr>
        <w:t> </w:t>
      </w:r>
      <w:r w:rsidRPr="00F63B64">
        <w:rPr>
          <w:lang w:val="fr-CA"/>
        </w:rPr>
        <w:t xml:space="preserve">: </w:t>
      </w:r>
      <w:proofErr w:type="spellStart"/>
      <w:r w:rsidRPr="00F63B64">
        <w:rPr>
          <w:lang w:val="fr-CA"/>
        </w:rPr>
        <w:t>Recommended</w:t>
      </w:r>
      <w:proofErr w:type="spellEnd"/>
      <w:r w:rsidRPr="00F63B64">
        <w:rPr>
          <w:lang w:val="fr-CA"/>
        </w:rPr>
        <w:t xml:space="preserve"> Practices for </w:t>
      </w:r>
      <w:proofErr w:type="spellStart"/>
      <w:r w:rsidRPr="00F63B64">
        <w:rPr>
          <w:lang w:val="fr-CA"/>
        </w:rPr>
        <w:t>Neuroinclusivity</w:t>
      </w:r>
      <w:proofErr w:type="spellEnd"/>
      <w:r w:rsidRPr="00F63B64">
        <w:rPr>
          <w:lang w:val="fr-CA"/>
        </w:rPr>
        <w:t>.</w:t>
      </w:r>
      <w:r w:rsidR="00641083">
        <w:rPr>
          <w:lang w:val="fr-CA"/>
        </w:rPr>
        <w:t xml:space="preserve"> </w:t>
      </w:r>
      <w:r w:rsidR="00641083" w:rsidRPr="0039321E">
        <w:rPr>
          <w:lang w:val="fr-CA"/>
        </w:rPr>
        <w:t>(</w:t>
      </w:r>
      <w:proofErr w:type="gramStart"/>
      <w:r w:rsidR="00CC1309">
        <w:rPr>
          <w:lang w:val="fr-CA"/>
        </w:rPr>
        <w:t>e</w:t>
      </w:r>
      <w:r w:rsidR="00641083" w:rsidRPr="0039321E">
        <w:rPr>
          <w:lang w:val="fr-CA"/>
        </w:rPr>
        <w:t>n</w:t>
      </w:r>
      <w:proofErr w:type="gramEnd"/>
      <w:r w:rsidR="00641083" w:rsidRPr="0039321E">
        <w:rPr>
          <w:lang w:val="fr-CA"/>
        </w:rPr>
        <w:t xml:space="preserve"> anglais seulement)</w:t>
      </w:r>
    </w:p>
    <w:p w14:paraId="58DF48D2" w14:textId="7FAF7780" w:rsidR="00A00C27" w:rsidRPr="00A00C27" w:rsidRDefault="00E46F63" w:rsidP="00E46F63">
      <w:r w:rsidRPr="00A00C27">
        <w:lastRenderedPageBreak/>
        <w:t>Dalhousie</w:t>
      </w:r>
      <w:r w:rsidR="00FE62D6">
        <w:t xml:space="preserve"> University</w:t>
      </w:r>
      <w:r w:rsidRPr="00A00C27">
        <w:t>.</w:t>
      </w:r>
      <w:r w:rsidR="00322F8D" w:rsidRPr="00A00C27">
        <w:t xml:space="preserve"> n.d.</w:t>
      </w:r>
      <w:r w:rsidRPr="00A00C27">
        <w:t xml:space="preserve"> </w:t>
      </w:r>
      <w:r w:rsidR="00A00C27" w:rsidRPr="00A00C27">
        <w:t>Mass Evacuation and People with Disabilities Final Report.</w:t>
      </w:r>
      <w:r w:rsidR="005716E6">
        <w:t xml:space="preserve"> (</w:t>
      </w:r>
      <w:proofErr w:type="spellStart"/>
      <w:r w:rsidR="00CC1309">
        <w:t>e</w:t>
      </w:r>
      <w:r w:rsidR="005716E6">
        <w:t>n</w:t>
      </w:r>
      <w:proofErr w:type="spellEnd"/>
      <w:r w:rsidR="005716E6">
        <w:t xml:space="preserve"> anglais </w:t>
      </w:r>
      <w:proofErr w:type="spellStart"/>
      <w:r w:rsidR="005716E6">
        <w:t>seulement</w:t>
      </w:r>
      <w:proofErr w:type="spellEnd"/>
      <w:r w:rsidR="005716E6">
        <w:t>)</w:t>
      </w:r>
    </w:p>
    <w:p w14:paraId="4E1FD3F7" w14:textId="51013380" w:rsidR="00E46F63" w:rsidRPr="00E46F63" w:rsidRDefault="00E46F63" w:rsidP="00E46F63">
      <w:r w:rsidRPr="00E46F63">
        <w:t>Design For All Inc. 2023. Informing Standards Development for Federal Heritage Buildings: An Inclusive Iterative Process</w:t>
      </w:r>
      <w:r w:rsidR="000728C4">
        <w:t>.</w:t>
      </w:r>
      <w:r w:rsidR="00416A23">
        <w:t xml:space="preserve"> (</w:t>
      </w:r>
      <w:proofErr w:type="spellStart"/>
      <w:r w:rsidR="00CC1309">
        <w:t>e</w:t>
      </w:r>
      <w:r w:rsidR="00416A23">
        <w:t>n</w:t>
      </w:r>
      <w:proofErr w:type="spellEnd"/>
      <w:r w:rsidR="00416A23">
        <w:t xml:space="preserve"> anglais </w:t>
      </w:r>
      <w:proofErr w:type="spellStart"/>
      <w:r w:rsidR="00416A23">
        <w:t>seulement</w:t>
      </w:r>
      <w:proofErr w:type="spellEnd"/>
      <w:r w:rsidR="00416A23">
        <w:t>)</w:t>
      </w:r>
    </w:p>
    <w:p w14:paraId="3A49F8C9" w14:textId="16DC0C73" w:rsidR="00E46F63" w:rsidRPr="008A0624" w:rsidRDefault="002C68C0" w:rsidP="00E46F63">
      <w:pPr>
        <w:rPr>
          <w:lang w:val="fr-CA"/>
        </w:rPr>
      </w:pPr>
      <w:r w:rsidRPr="004852D2">
        <w:t xml:space="preserve">Douglas, G., Weston, A., Whittaker, J., Morley Wilkins, S., </w:t>
      </w:r>
      <w:r w:rsidR="00B52669">
        <w:t>and</w:t>
      </w:r>
      <w:r w:rsidRPr="004852D2">
        <w:t xml:space="preserve"> Robinson, D. 2008.</w:t>
      </w:r>
      <w:r w:rsidR="008062F2">
        <w:t xml:space="preserve"> </w:t>
      </w:r>
      <w:r w:rsidR="00B52669" w:rsidRPr="00B52669">
        <w:t>Braille dot height research: Investigation of Braille Dot Elevation on Pharmaceutical Products FINAL REPORT</w:t>
      </w:r>
      <w:r w:rsidRPr="00B52669">
        <w:t>.</w:t>
      </w:r>
      <w:r w:rsidR="00B52669">
        <w:t xml:space="preserve"> </w:t>
      </w:r>
      <w:r w:rsidR="00B52669" w:rsidRPr="008A0624">
        <w:rPr>
          <w:lang w:val="fr-CA"/>
        </w:rPr>
        <w:t>(</w:t>
      </w:r>
      <w:proofErr w:type="gramStart"/>
      <w:r w:rsidR="00CC1309">
        <w:rPr>
          <w:lang w:val="fr-CA"/>
        </w:rPr>
        <w:t>e</w:t>
      </w:r>
      <w:r w:rsidR="00B52669" w:rsidRPr="008A0624">
        <w:rPr>
          <w:lang w:val="fr-CA"/>
        </w:rPr>
        <w:t>n</w:t>
      </w:r>
      <w:proofErr w:type="gramEnd"/>
      <w:r w:rsidR="00B52669" w:rsidRPr="008A0624">
        <w:rPr>
          <w:lang w:val="fr-CA"/>
        </w:rPr>
        <w:t xml:space="preserve"> anglais seulement)</w:t>
      </w:r>
    </w:p>
    <w:p w14:paraId="36138B04" w14:textId="15F0EFE4" w:rsidR="00E46F63" w:rsidRPr="005806BD" w:rsidRDefault="00E46F63" w:rsidP="00E46F63">
      <w:pPr>
        <w:rPr>
          <w:lang w:val="fr-CA"/>
        </w:rPr>
      </w:pPr>
      <w:proofErr w:type="spellStart"/>
      <w:r w:rsidRPr="008A0624">
        <w:rPr>
          <w:lang w:val="fr-CA"/>
        </w:rPr>
        <w:t>Eyecandy</w:t>
      </w:r>
      <w:proofErr w:type="spellEnd"/>
      <w:r w:rsidRPr="008A0624">
        <w:rPr>
          <w:lang w:val="fr-CA"/>
        </w:rPr>
        <w:t xml:space="preserve"> SIGNS </w:t>
      </w:r>
      <w:proofErr w:type="spellStart"/>
      <w:r w:rsidRPr="008A0624">
        <w:rPr>
          <w:lang w:val="fr-CA"/>
        </w:rPr>
        <w:t>Incorporated</w:t>
      </w:r>
      <w:proofErr w:type="spellEnd"/>
      <w:r w:rsidRPr="008A0624">
        <w:rPr>
          <w:lang w:val="fr-CA"/>
        </w:rPr>
        <w:t xml:space="preserve">. </w:t>
      </w:r>
      <w:r w:rsidRPr="00F63B64">
        <w:rPr>
          <w:lang w:val="fr-CA"/>
        </w:rPr>
        <w:t>2023.</w:t>
      </w:r>
      <w:r w:rsidR="00FC406A">
        <w:rPr>
          <w:lang w:val="fr-CA"/>
        </w:rPr>
        <w:t xml:space="preserve"> </w:t>
      </w:r>
      <w:r w:rsidR="005806BD" w:rsidRPr="005806BD">
        <w:rPr>
          <w:lang w:val="fr-CA"/>
        </w:rPr>
        <w:t>Faire progresser la communication à travers les panneaux de</w:t>
      </w:r>
      <w:r w:rsidR="005806BD">
        <w:rPr>
          <w:lang w:val="fr-CA"/>
        </w:rPr>
        <w:t xml:space="preserve"> signalisation et d’orientation</w:t>
      </w:r>
      <w:r w:rsidR="005B5D2C" w:rsidRPr="005806BD">
        <w:rPr>
          <w:lang w:val="fr-CA"/>
        </w:rPr>
        <w:t>.</w:t>
      </w:r>
    </w:p>
    <w:p w14:paraId="33DD67D9" w14:textId="404E30BC" w:rsidR="004C59FD" w:rsidRPr="004C59FD" w:rsidRDefault="004C59FD" w:rsidP="00E46F63">
      <w:r w:rsidRPr="008A0624">
        <w:t xml:space="preserve">First Nations Health Authority. 2025. </w:t>
      </w:r>
      <w:r w:rsidRPr="004C59FD">
        <w:t>A Journey Towards Accessibility</w:t>
      </w:r>
      <w:r w:rsidR="005B2689">
        <w:t>—</w:t>
      </w:r>
      <w:r w:rsidRPr="004C59FD">
        <w:t>perspectives from first nations in British Columbia.</w:t>
      </w:r>
      <w:r w:rsidR="00CE083C">
        <w:t xml:space="preserve"> (</w:t>
      </w:r>
      <w:proofErr w:type="spellStart"/>
      <w:r w:rsidR="00CC1309">
        <w:t>e</w:t>
      </w:r>
      <w:r w:rsidR="00CE083C">
        <w:t>n</w:t>
      </w:r>
      <w:proofErr w:type="spellEnd"/>
      <w:r w:rsidR="00CE083C">
        <w:t xml:space="preserve"> anglais </w:t>
      </w:r>
      <w:proofErr w:type="spellStart"/>
      <w:r w:rsidR="00CE083C">
        <w:t>seulement</w:t>
      </w:r>
      <w:proofErr w:type="spellEnd"/>
      <w:r w:rsidR="00CE083C">
        <w:t>)</w:t>
      </w:r>
    </w:p>
    <w:p w14:paraId="0465AC6E" w14:textId="77777777" w:rsidR="00F323DA" w:rsidRDefault="00F323DA" w:rsidP="00E46F63">
      <w:r w:rsidRPr="00F323DA">
        <w:t>First Nations National Building Officers Association. 2021. Indigenous Communities and Federal Accessibility Standards: A Situational Review.</w:t>
      </w:r>
    </w:p>
    <w:p w14:paraId="659A80C1" w14:textId="443C9553" w:rsidR="00ED240D" w:rsidRPr="008A0624" w:rsidRDefault="00ED240D" w:rsidP="00E46F63">
      <w:pPr>
        <w:rPr>
          <w:lang w:val="fr-CA"/>
        </w:rPr>
      </w:pPr>
      <w:r w:rsidRPr="00ED240D">
        <w:t xml:space="preserve">Hidden Mobility Disabilities Alliance Ltd. 2024. Ensuring Accessibility for Persons with HMD (Limited Mobility). </w:t>
      </w:r>
      <w:r w:rsidRPr="008A0624">
        <w:rPr>
          <w:lang w:val="fr-CA"/>
        </w:rPr>
        <w:t>(</w:t>
      </w:r>
      <w:proofErr w:type="gramStart"/>
      <w:r w:rsidR="00CC1309">
        <w:rPr>
          <w:lang w:val="fr-CA"/>
        </w:rPr>
        <w:t>e</w:t>
      </w:r>
      <w:r w:rsidRPr="008A0624">
        <w:rPr>
          <w:lang w:val="fr-CA"/>
        </w:rPr>
        <w:t>n</w:t>
      </w:r>
      <w:proofErr w:type="gramEnd"/>
      <w:r w:rsidRPr="008A0624">
        <w:rPr>
          <w:lang w:val="fr-CA"/>
        </w:rPr>
        <w:t xml:space="preserve"> anglais seulement)</w:t>
      </w:r>
    </w:p>
    <w:p w14:paraId="65E2A1A1" w14:textId="42465FE8" w:rsidR="00E46F63" w:rsidRPr="00F63B64" w:rsidRDefault="00E46F63" w:rsidP="00E46F63">
      <w:pPr>
        <w:rPr>
          <w:lang w:val="fr-CA"/>
        </w:rPr>
      </w:pPr>
      <w:r w:rsidRPr="00F63B64">
        <w:rPr>
          <w:lang w:val="fr-CA"/>
        </w:rPr>
        <w:t xml:space="preserve">Société </w:t>
      </w:r>
      <w:proofErr w:type="spellStart"/>
      <w:r w:rsidRPr="00F63B64">
        <w:rPr>
          <w:lang w:val="fr-CA"/>
        </w:rPr>
        <w:t>Mawita'mk</w:t>
      </w:r>
      <w:proofErr w:type="spellEnd"/>
      <w:r w:rsidRPr="00F63B64">
        <w:rPr>
          <w:lang w:val="fr-CA"/>
        </w:rPr>
        <w:t>. 2024. Entendre leurs voix</w:t>
      </w:r>
      <w:r w:rsidR="00DF09E8">
        <w:rPr>
          <w:lang w:val="fr-CA"/>
        </w:rPr>
        <w:t> :</w:t>
      </w:r>
      <w:r w:rsidRPr="00F63B64">
        <w:rPr>
          <w:lang w:val="fr-CA"/>
        </w:rPr>
        <w:t xml:space="preserve"> de l</w:t>
      </w:r>
      <w:r w:rsidR="003E4D97">
        <w:rPr>
          <w:lang w:val="fr-CA"/>
        </w:rPr>
        <w:t>’</w:t>
      </w:r>
      <w:r w:rsidRPr="00F63B64">
        <w:rPr>
          <w:lang w:val="fr-CA"/>
        </w:rPr>
        <w:t>isolement à l</w:t>
      </w:r>
      <w:r w:rsidR="003E4D97">
        <w:rPr>
          <w:lang w:val="fr-CA"/>
        </w:rPr>
        <w:t>’</w:t>
      </w:r>
      <w:r w:rsidRPr="00F63B64">
        <w:rPr>
          <w:lang w:val="fr-CA"/>
        </w:rPr>
        <w:t>autodétermination.</w:t>
      </w:r>
    </w:p>
    <w:p w14:paraId="425F7920" w14:textId="2E42F301" w:rsidR="00E46F63" w:rsidRPr="00757172" w:rsidRDefault="00336960" w:rsidP="00E46F63">
      <w:r w:rsidRPr="00336960">
        <w:t xml:space="preserve">McMaster University. 2021. Sustainable Environment Needs to be Accessible: Understanding the Knowledge Base for Accessibility of Buildings and the Built Environment. </w:t>
      </w:r>
      <w:r w:rsidRPr="00757172">
        <w:t>(</w:t>
      </w:r>
      <w:proofErr w:type="spellStart"/>
      <w:r w:rsidR="00CC1309">
        <w:t>e</w:t>
      </w:r>
      <w:r w:rsidRPr="00757172">
        <w:t>n</w:t>
      </w:r>
      <w:proofErr w:type="spellEnd"/>
      <w:r w:rsidRPr="00757172">
        <w:t xml:space="preserve"> anglais </w:t>
      </w:r>
      <w:proofErr w:type="spellStart"/>
      <w:r w:rsidRPr="00757172">
        <w:t>seulement</w:t>
      </w:r>
      <w:proofErr w:type="spellEnd"/>
      <w:r w:rsidRPr="00757172">
        <w:t>)</w:t>
      </w:r>
    </w:p>
    <w:p w14:paraId="5F33D916" w14:textId="77777777" w:rsidR="00AD2263" w:rsidRDefault="00757172" w:rsidP="00E46F63">
      <w:r w:rsidRPr="00757172">
        <w:t>McMaster University. 2024. A Framework for Accessible Heritage Buildings &amp; Structures Retrofits.</w:t>
      </w:r>
    </w:p>
    <w:p w14:paraId="70282F33" w14:textId="6A553E05" w:rsidR="00E46F63" w:rsidRPr="00F63B64" w:rsidRDefault="00E46F63" w:rsidP="00E46F63">
      <w:pPr>
        <w:rPr>
          <w:lang w:val="fr-CA"/>
        </w:rPr>
      </w:pPr>
      <w:proofErr w:type="spellStart"/>
      <w:r w:rsidRPr="008A0624">
        <w:rPr>
          <w:lang w:val="fr-CA"/>
        </w:rPr>
        <w:t>Nunavummi</w:t>
      </w:r>
      <w:proofErr w:type="spellEnd"/>
      <w:r w:rsidRPr="008A0624">
        <w:rPr>
          <w:lang w:val="fr-CA"/>
        </w:rPr>
        <w:t xml:space="preserve"> </w:t>
      </w:r>
      <w:proofErr w:type="spellStart"/>
      <w:r w:rsidRPr="008A0624">
        <w:rPr>
          <w:lang w:val="fr-CA"/>
        </w:rPr>
        <w:t>Disabilities</w:t>
      </w:r>
      <w:proofErr w:type="spellEnd"/>
      <w:r w:rsidRPr="008A0624">
        <w:rPr>
          <w:lang w:val="fr-CA"/>
        </w:rPr>
        <w:t xml:space="preserve"> </w:t>
      </w:r>
      <w:proofErr w:type="spellStart"/>
      <w:r w:rsidRPr="008A0624">
        <w:rPr>
          <w:lang w:val="fr-CA"/>
        </w:rPr>
        <w:t>Makinnasuaqtiit</w:t>
      </w:r>
      <w:proofErr w:type="spellEnd"/>
      <w:r w:rsidRPr="008A0624">
        <w:rPr>
          <w:lang w:val="fr-CA"/>
        </w:rPr>
        <w:t xml:space="preserve"> Society. </w:t>
      </w:r>
      <w:r w:rsidRPr="00F63B64">
        <w:rPr>
          <w:lang w:val="fr-CA"/>
        </w:rPr>
        <w:t xml:space="preserve">2024. </w:t>
      </w:r>
      <w:r w:rsidR="005012EF">
        <w:rPr>
          <w:lang w:val="fr-CA"/>
        </w:rPr>
        <w:t>Promouvoir</w:t>
      </w:r>
      <w:r w:rsidRPr="00F63B64">
        <w:rPr>
          <w:lang w:val="fr-CA"/>
        </w:rPr>
        <w:t xml:space="preserve"> les normes d</w:t>
      </w:r>
      <w:r w:rsidR="003E4D97">
        <w:rPr>
          <w:lang w:val="fr-CA"/>
        </w:rPr>
        <w:t>’</w:t>
      </w:r>
      <w:r w:rsidRPr="00F63B64">
        <w:rPr>
          <w:lang w:val="fr-CA"/>
        </w:rPr>
        <w:t xml:space="preserve">accessibilité </w:t>
      </w:r>
      <w:r w:rsidR="008D3D92">
        <w:rPr>
          <w:lang w:val="fr-CA"/>
        </w:rPr>
        <w:t>à</w:t>
      </w:r>
      <w:r w:rsidR="005012EF">
        <w:rPr>
          <w:lang w:val="fr-CA"/>
        </w:rPr>
        <w:t xml:space="preserve"> travers l’Inuit </w:t>
      </w:r>
      <w:proofErr w:type="spellStart"/>
      <w:r w:rsidRPr="00F63B64">
        <w:rPr>
          <w:lang w:val="fr-CA"/>
        </w:rPr>
        <w:t>Qaujimajatuqangit</w:t>
      </w:r>
      <w:proofErr w:type="spellEnd"/>
      <w:r w:rsidRPr="00F63B64">
        <w:rPr>
          <w:lang w:val="fr-CA"/>
        </w:rPr>
        <w:t>.</w:t>
      </w:r>
    </w:p>
    <w:p w14:paraId="50A7B51B" w14:textId="2A11F10B" w:rsidR="00E46F63" w:rsidRPr="00877353" w:rsidRDefault="00E46F63" w:rsidP="00E46F63">
      <w:pPr>
        <w:rPr>
          <w:lang w:val="fr-CA"/>
        </w:rPr>
      </w:pPr>
      <w:r w:rsidRPr="00E46F63">
        <w:t xml:space="preserve">Ontario College of Art and Design University. </w:t>
      </w:r>
      <w:r w:rsidRPr="00F63B64">
        <w:rPr>
          <w:lang w:val="fr-CA"/>
        </w:rPr>
        <w:t>2025. Accessible Canada, Un Canada accessible, Un monde accessible.</w:t>
      </w:r>
    </w:p>
    <w:p w14:paraId="4CDBB722" w14:textId="7CFD6F29" w:rsidR="00E46F63" w:rsidRPr="00E65448" w:rsidRDefault="00E46F63" w:rsidP="00E46F63">
      <w:pPr>
        <w:rPr>
          <w:lang w:val="fr-CA"/>
        </w:rPr>
      </w:pPr>
      <w:r w:rsidRPr="008A0624">
        <w:rPr>
          <w:lang w:val="fr-CA"/>
        </w:rPr>
        <w:lastRenderedPageBreak/>
        <w:t xml:space="preserve">Quadrangle </w:t>
      </w:r>
      <w:proofErr w:type="spellStart"/>
      <w:r w:rsidRPr="008A0624">
        <w:rPr>
          <w:lang w:val="fr-CA"/>
        </w:rPr>
        <w:t>Architects</w:t>
      </w:r>
      <w:proofErr w:type="spellEnd"/>
      <w:r w:rsidRPr="008A0624">
        <w:rPr>
          <w:lang w:val="fr-CA"/>
        </w:rPr>
        <w:t xml:space="preserve"> Limited. 2024. </w:t>
      </w:r>
      <w:r w:rsidR="002F4B36" w:rsidRPr="00E65448">
        <w:rPr>
          <w:lang w:val="fr-CA"/>
        </w:rPr>
        <w:t>Patrimoin</w:t>
      </w:r>
      <w:r w:rsidR="00E65448" w:rsidRPr="00E65448">
        <w:rPr>
          <w:lang w:val="fr-CA"/>
        </w:rPr>
        <w:t>e pour tous</w:t>
      </w:r>
      <w:r w:rsidR="004A0CDA">
        <w:rPr>
          <w:lang w:val="fr-CA"/>
        </w:rPr>
        <w:t> </w:t>
      </w:r>
      <w:r w:rsidR="00E65448" w:rsidRPr="00E65448">
        <w:rPr>
          <w:lang w:val="fr-CA"/>
        </w:rPr>
        <w:t>: Élimination des obstacles à l’accessibil</w:t>
      </w:r>
      <w:r w:rsidR="00E65448">
        <w:rPr>
          <w:lang w:val="fr-CA"/>
        </w:rPr>
        <w:t>ité dans les édifices patrimoniaux fédéraux</w:t>
      </w:r>
      <w:r w:rsidRPr="00E65448">
        <w:rPr>
          <w:lang w:val="fr-CA"/>
        </w:rPr>
        <w:t>.</w:t>
      </w:r>
    </w:p>
    <w:p w14:paraId="240D6387" w14:textId="7DA2D8A0" w:rsidR="00E46F63" w:rsidRDefault="00E46F63" w:rsidP="00E46F63">
      <w:pPr>
        <w:rPr>
          <w:lang w:val="fr-CA"/>
        </w:rPr>
      </w:pPr>
      <w:proofErr w:type="spellStart"/>
      <w:r w:rsidRPr="000D1B0A">
        <w:rPr>
          <w:lang w:val="fr-CA"/>
        </w:rPr>
        <w:t>R</w:t>
      </w:r>
      <w:r w:rsidR="008D025F" w:rsidRPr="000D1B0A">
        <w:rPr>
          <w:lang w:val="fr-CA"/>
        </w:rPr>
        <w:t>e</w:t>
      </w:r>
      <w:r w:rsidRPr="000D1B0A">
        <w:rPr>
          <w:lang w:val="fr-CA"/>
        </w:rPr>
        <w:t>al</w:t>
      </w:r>
      <w:r w:rsidR="008D025F" w:rsidRPr="000D1B0A">
        <w:rPr>
          <w:lang w:val="fr-CA"/>
        </w:rPr>
        <w:t>ize</w:t>
      </w:r>
      <w:proofErr w:type="spellEnd"/>
      <w:r w:rsidRPr="000D1B0A">
        <w:rPr>
          <w:lang w:val="fr-CA"/>
        </w:rPr>
        <w:t>. s.d.</w:t>
      </w:r>
      <w:r w:rsidR="000D1B0A" w:rsidRPr="000D1B0A">
        <w:rPr>
          <w:lang w:val="fr-CA"/>
        </w:rPr>
        <w:t xml:space="preserve"> Enquête sur l’élaboration de normes d’accessibilité au Canada en</w:t>
      </w:r>
      <w:r w:rsidR="000D1B0A">
        <w:rPr>
          <w:lang w:val="fr-CA"/>
        </w:rPr>
        <w:t xml:space="preserve"> fonction de l’inclusion et de l’exclusion de l’incapacité épisodique</w:t>
      </w:r>
      <w:r w:rsidRPr="000D1B0A">
        <w:rPr>
          <w:lang w:val="fr-CA"/>
        </w:rPr>
        <w:t>.</w:t>
      </w:r>
    </w:p>
    <w:p w14:paraId="33D8B739" w14:textId="6949CD1F" w:rsidR="0084536B" w:rsidRPr="000C3E18" w:rsidRDefault="0084536B" w:rsidP="00E46F63">
      <w:proofErr w:type="spellStart"/>
      <w:r w:rsidRPr="004852D2">
        <w:t>Shirdale</w:t>
      </w:r>
      <w:proofErr w:type="spellEnd"/>
      <w:r w:rsidRPr="004852D2">
        <w:t>, L. 2017. Wayfinding-Safe Passage. Sign Builder Illustrated</w:t>
      </w:r>
      <w:r w:rsidR="000C3E18">
        <w:t>. (</w:t>
      </w:r>
      <w:proofErr w:type="spellStart"/>
      <w:r w:rsidR="00CC1309">
        <w:t>e</w:t>
      </w:r>
      <w:r w:rsidR="000C3E18">
        <w:t>n</w:t>
      </w:r>
      <w:proofErr w:type="spellEnd"/>
      <w:r w:rsidR="000C3E18">
        <w:t xml:space="preserve"> anglais </w:t>
      </w:r>
      <w:proofErr w:type="spellStart"/>
      <w:r w:rsidR="000C3E18">
        <w:t>seulement</w:t>
      </w:r>
      <w:proofErr w:type="spellEnd"/>
      <w:r w:rsidR="000C3E18">
        <w:t>)</w:t>
      </w:r>
    </w:p>
    <w:p w14:paraId="30AFF328" w14:textId="4473A803" w:rsidR="00E46F63" w:rsidRPr="007C0FBA" w:rsidRDefault="00E46F63" w:rsidP="00E46F63">
      <w:r w:rsidRPr="008A0624">
        <w:t>Sunnybrook</w:t>
      </w:r>
      <w:r w:rsidR="000F322B" w:rsidRPr="008A0624">
        <w:t xml:space="preserve"> Research Institute</w:t>
      </w:r>
      <w:r w:rsidRPr="008A0624">
        <w:t xml:space="preserve">. 2025. </w:t>
      </w:r>
      <w:r w:rsidR="000E4A16" w:rsidRPr="00E46F63">
        <w:t>Identifying priorities and developing collaborative action plans to improve accessible housing practice, policy, and research in Canada.</w:t>
      </w:r>
      <w:r w:rsidR="00247C6F">
        <w:t xml:space="preserve"> </w:t>
      </w:r>
      <w:r w:rsidR="00247C6F" w:rsidRPr="007C0FBA">
        <w:t>(en anglais seulement)</w:t>
      </w:r>
    </w:p>
    <w:p w14:paraId="69101973" w14:textId="65B6651B" w:rsidR="00E46F63" w:rsidRPr="00F63B64" w:rsidRDefault="00E46F63" w:rsidP="00E46F63">
      <w:pPr>
        <w:rPr>
          <w:lang w:val="fr-CA"/>
        </w:rPr>
      </w:pPr>
      <w:r w:rsidRPr="0039321E">
        <w:rPr>
          <w:lang w:val="fr-CA"/>
        </w:rPr>
        <w:t xml:space="preserve">Université Laval. 2024. </w:t>
      </w:r>
      <w:r w:rsidRPr="00F63B64">
        <w:rPr>
          <w:lang w:val="fr-CA"/>
        </w:rPr>
        <w:t>AXC-Patrimoine – Pour une réconciliation harmonieuse entre nos bâtiments patrimoniaux et</w:t>
      </w:r>
      <w:r w:rsidR="001E0343">
        <w:rPr>
          <w:lang w:val="fr-CA"/>
        </w:rPr>
        <w:t xml:space="preserve"> l’</w:t>
      </w:r>
      <w:r w:rsidRPr="00F63B64">
        <w:rPr>
          <w:lang w:val="fr-CA"/>
        </w:rPr>
        <w:t>accessibilité inclusive.</w:t>
      </w:r>
    </w:p>
    <w:p w14:paraId="78C3590A" w14:textId="270EC6E6" w:rsidR="007871A2" w:rsidRPr="008A0624" w:rsidRDefault="007871A2" w:rsidP="00E46F63">
      <w:r w:rsidRPr="007871A2">
        <w:t xml:space="preserve">University Health Network. 2021. Recommendations for Evacuating Individuals with Disabilities from the Built Environment. </w:t>
      </w:r>
      <w:r w:rsidRPr="008A0624">
        <w:t>(</w:t>
      </w:r>
      <w:proofErr w:type="spellStart"/>
      <w:r w:rsidR="00CC1309">
        <w:t>e</w:t>
      </w:r>
      <w:r w:rsidRPr="008A0624">
        <w:t>n</w:t>
      </w:r>
      <w:proofErr w:type="spellEnd"/>
      <w:r w:rsidRPr="008A0624">
        <w:t xml:space="preserve"> anglais </w:t>
      </w:r>
      <w:proofErr w:type="spellStart"/>
      <w:r w:rsidRPr="008A0624">
        <w:t>seulement</w:t>
      </w:r>
      <w:proofErr w:type="spellEnd"/>
      <w:r w:rsidRPr="008A0624">
        <w:t>)</w:t>
      </w:r>
    </w:p>
    <w:p w14:paraId="75CCA419" w14:textId="4BAFD32B" w:rsidR="00E46F63" w:rsidRPr="00B17C31" w:rsidRDefault="00E46F63" w:rsidP="00E46F63">
      <w:r w:rsidRPr="008A0624">
        <w:t xml:space="preserve">University Health Network. 2023. </w:t>
      </w:r>
      <w:r w:rsidR="00B17C31" w:rsidRPr="00B17C31">
        <w:t>Recommendations for the Inclusion of Wayfinding Technologies in Canadian Accessibility Standards</w:t>
      </w:r>
      <w:r w:rsidRPr="00B17C31">
        <w:t>.</w:t>
      </w:r>
      <w:r w:rsidR="00B17C31">
        <w:t xml:space="preserve"> (</w:t>
      </w:r>
      <w:proofErr w:type="spellStart"/>
      <w:r w:rsidR="00CC1309">
        <w:t>e</w:t>
      </w:r>
      <w:r w:rsidR="00B17C31">
        <w:t>n</w:t>
      </w:r>
      <w:proofErr w:type="spellEnd"/>
      <w:r w:rsidR="00B17C31">
        <w:t xml:space="preserve"> anglais </w:t>
      </w:r>
      <w:proofErr w:type="spellStart"/>
      <w:r w:rsidR="00B17C31">
        <w:t>seulement</w:t>
      </w:r>
      <w:proofErr w:type="spellEnd"/>
      <w:r w:rsidR="00B17C31">
        <w:t>)</w:t>
      </w:r>
    </w:p>
    <w:p w14:paraId="46C05070" w14:textId="7794E4D8" w:rsidR="00E46F63" w:rsidRPr="00096ED4" w:rsidRDefault="00E46F63" w:rsidP="00E46F63">
      <w:r w:rsidRPr="008A0624">
        <w:t xml:space="preserve">University Health Network. 2024. </w:t>
      </w:r>
      <w:r w:rsidR="00096ED4" w:rsidRPr="00096ED4">
        <w:t>A Park Accessibility Framework: Making National Parks Accessible to People with Disabilities.</w:t>
      </w:r>
      <w:r w:rsidR="00096ED4">
        <w:t xml:space="preserve"> (</w:t>
      </w:r>
      <w:proofErr w:type="spellStart"/>
      <w:r w:rsidR="00CC1309">
        <w:t>e</w:t>
      </w:r>
      <w:r w:rsidR="00096ED4">
        <w:t>n</w:t>
      </w:r>
      <w:proofErr w:type="spellEnd"/>
      <w:r w:rsidR="00096ED4">
        <w:t xml:space="preserve"> anglais </w:t>
      </w:r>
      <w:proofErr w:type="spellStart"/>
      <w:r w:rsidR="00096ED4">
        <w:t>seulement</w:t>
      </w:r>
      <w:proofErr w:type="spellEnd"/>
      <w:r w:rsidR="00096ED4">
        <w:t>)</w:t>
      </w:r>
    </w:p>
    <w:p w14:paraId="5ADAAE2E" w14:textId="2451F0E7" w:rsidR="00370C28" w:rsidRPr="004465C1" w:rsidRDefault="004465C1" w:rsidP="004465C1">
      <w:r w:rsidRPr="004465C1">
        <w:t>University of British Columbia. 2024. PARCOURS Parks for All.</w:t>
      </w:r>
      <w:r>
        <w:t xml:space="preserve"> (</w:t>
      </w:r>
      <w:proofErr w:type="spellStart"/>
      <w:r w:rsidR="00CC1309">
        <w:t>e</w:t>
      </w:r>
      <w:r>
        <w:t>n</w:t>
      </w:r>
      <w:proofErr w:type="spellEnd"/>
      <w:r>
        <w:t xml:space="preserve"> anglais </w:t>
      </w:r>
      <w:proofErr w:type="spellStart"/>
      <w:r>
        <w:t>seulement</w:t>
      </w:r>
      <w:proofErr w:type="spellEnd"/>
      <w:r>
        <w:t>)</w:t>
      </w:r>
    </w:p>
    <w:sectPr w:rsidR="00370C28" w:rsidRPr="004465C1" w:rsidSect="00941A69">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E2EFF" w14:textId="77777777" w:rsidR="009271F4" w:rsidRDefault="009271F4" w:rsidP="00AC1A0F">
      <w:pPr>
        <w:spacing w:after="0" w:line="240" w:lineRule="auto"/>
      </w:pPr>
      <w:r>
        <w:separator/>
      </w:r>
    </w:p>
  </w:endnote>
  <w:endnote w:type="continuationSeparator" w:id="0">
    <w:p w14:paraId="415D1FBB" w14:textId="77777777" w:rsidR="009271F4" w:rsidRDefault="009271F4" w:rsidP="00AC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6C05" w14:textId="77777777" w:rsidR="00951738" w:rsidRDefault="0095173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348384"/>
      <w:docPartObj>
        <w:docPartGallery w:val="Page Numbers (Bottom of Page)"/>
        <w:docPartUnique/>
      </w:docPartObj>
    </w:sdtPr>
    <w:sdtContent>
      <w:p w14:paraId="71E79659" w14:textId="3F1BAF5E" w:rsidR="00D56A5C" w:rsidRPr="00D56A5C" w:rsidRDefault="00D56A5C">
        <w:r w:rsidRPr="00D56A5C">
          <w:fldChar w:fldCharType="begin"/>
        </w:r>
        <w:r w:rsidRPr="00D56A5C">
          <w:instrText xml:space="preserve"> PAGE   \* MERGEFORMAT </w:instrText>
        </w:r>
        <w:r w:rsidRPr="00D56A5C">
          <w:fldChar w:fldCharType="separate"/>
        </w:r>
        <w:r w:rsidRPr="00D56A5C">
          <w:t>2</w:t>
        </w:r>
        <w:r w:rsidRPr="00D56A5C">
          <w:fldChar w:fldCharType="end"/>
        </w:r>
      </w:p>
    </w:sdtContent>
  </w:sdt>
  <w:p w14:paraId="050A08A1" w14:textId="194414A6" w:rsidR="00951738" w:rsidRDefault="0095173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6932" w14:textId="6B9A711E" w:rsidR="00951738" w:rsidRDefault="00951738">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1F308" w14:textId="77777777" w:rsidR="009271F4" w:rsidRDefault="009271F4" w:rsidP="00AC1A0F">
      <w:pPr>
        <w:spacing w:after="0" w:line="240" w:lineRule="auto"/>
      </w:pPr>
      <w:r>
        <w:separator/>
      </w:r>
    </w:p>
  </w:footnote>
  <w:footnote w:type="continuationSeparator" w:id="0">
    <w:p w14:paraId="2347C298" w14:textId="77777777" w:rsidR="009271F4" w:rsidRDefault="009271F4" w:rsidP="00AC1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4F17" w14:textId="77777777" w:rsidR="00951738" w:rsidRDefault="00951738">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1A35" w14:textId="77777777" w:rsidR="00951738" w:rsidRDefault="00951738">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E9C3" w14:textId="5FF56082" w:rsidR="00951738" w:rsidRDefault="00951738">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316"/>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 w15:restartNumberingAfterBreak="0">
    <w:nsid w:val="011A5FC9"/>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 w15:restartNumberingAfterBreak="0">
    <w:nsid w:val="02262779"/>
    <w:multiLevelType w:val="multilevel"/>
    <w:tmpl w:val="A96E5C84"/>
    <w:numStyleLink w:val="BulletedList"/>
  </w:abstractNum>
  <w:abstractNum w:abstractNumId="3" w15:restartNumberingAfterBreak="0">
    <w:nsid w:val="02633563"/>
    <w:multiLevelType w:val="multilevel"/>
    <w:tmpl w:val="C46CE8E6"/>
    <w:numStyleLink w:val="NumberedList"/>
  </w:abstractNum>
  <w:abstractNum w:abstractNumId="4" w15:restartNumberingAfterBreak="0">
    <w:nsid w:val="03395BA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 w15:restartNumberingAfterBreak="0">
    <w:nsid w:val="04F44008"/>
    <w:multiLevelType w:val="multilevel"/>
    <w:tmpl w:val="A96E5C84"/>
    <w:numStyleLink w:val="BulletedList"/>
  </w:abstractNum>
  <w:abstractNum w:abstractNumId="6" w15:restartNumberingAfterBreak="0">
    <w:nsid w:val="0605252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 w15:restartNumberingAfterBreak="0">
    <w:nsid w:val="066D32B4"/>
    <w:multiLevelType w:val="multilevel"/>
    <w:tmpl w:val="C46CE8E6"/>
    <w:numStyleLink w:val="NumberedList"/>
  </w:abstractNum>
  <w:abstractNum w:abstractNumId="8" w15:restartNumberingAfterBreak="0">
    <w:nsid w:val="0A614E9F"/>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9" w15:restartNumberingAfterBreak="0">
    <w:nsid w:val="0C432561"/>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0" w15:restartNumberingAfterBreak="0">
    <w:nsid w:val="0C664863"/>
    <w:multiLevelType w:val="multilevel"/>
    <w:tmpl w:val="9982771A"/>
    <w:lvl w:ilvl="0">
      <w:start w:val="1"/>
      <w:numFmt w:val="lowerLetter"/>
      <w:lvlText w:val="%1)"/>
      <w:lvlJc w:val="left"/>
      <w:pPr>
        <w:tabs>
          <w:tab w:val="num" w:pos="533"/>
        </w:tabs>
        <w:ind w:left="1066" w:hanging="533"/>
      </w:pPr>
      <w:rPr>
        <w:rFonts w:ascii="Arial" w:eastAsiaTheme="minorHAnsi" w:hAnsi="Arial" w:cstheme="minorBidi"/>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1" w15:restartNumberingAfterBreak="0">
    <w:nsid w:val="0CD90338"/>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2" w15:restartNumberingAfterBreak="0">
    <w:nsid w:val="0D104D0F"/>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3" w15:restartNumberingAfterBreak="0">
    <w:nsid w:val="0D424D2E"/>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4" w15:restartNumberingAfterBreak="0">
    <w:nsid w:val="0DEE143C"/>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E89454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6" w15:restartNumberingAfterBreak="0">
    <w:nsid w:val="0FDD37D8"/>
    <w:multiLevelType w:val="multilevel"/>
    <w:tmpl w:val="C46CE8E6"/>
    <w:numStyleLink w:val="NumberedList"/>
  </w:abstractNum>
  <w:abstractNum w:abstractNumId="17" w15:restartNumberingAfterBreak="0">
    <w:nsid w:val="120C001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8" w15:restartNumberingAfterBreak="0">
    <w:nsid w:val="123935BA"/>
    <w:multiLevelType w:val="multilevel"/>
    <w:tmpl w:val="C46CE8E6"/>
    <w:numStyleLink w:val="NumberedList"/>
  </w:abstractNum>
  <w:abstractNum w:abstractNumId="19" w15:restartNumberingAfterBreak="0">
    <w:nsid w:val="1332230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0" w15:restartNumberingAfterBreak="0">
    <w:nsid w:val="14727FC7"/>
    <w:multiLevelType w:val="hybridMultilevel"/>
    <w:tmpl w:val="89C251FE"/>
    <w:lvl w:ilvl="0" w:tplc="D31097FC">
      <w:start w:val="1"/>
      <w:numFmt w:val="decimal"/>
      <w:lvlText w:val="%1."/>
      <w:lvlJc w:val="left"/>
      <w:pPr>
        <w:ind w:left="1020" w:hanging="360"/>
      </w:pPr>
    </w:lvl>
    <w:lvl w:ilvl="1" w:tplc="42E6BC58">
      <w:start w:val="1"/>
      <w:numFmt w:val="decimal"/>
      <w:lvlText w:val="%2."/>
      <w:lvlJc w:val="left"/>
      <w:pPr>
        <w:ind w:left="1020" w:hanging="360"/>
      </w:pPr>
    </w:lvl>
    <w:lvl w:ilvl="2" w:tplc="00D2E0B0">
      <w:start w:val="1"/>
      <w:numFmt w:val="decimal"/>
      <w:lvlText w:val="%3."/>
      <w:lvlJc w:val="left"/>
      <w:pPr>
        <w:ind w:left="1020" w:hanging="360"/>
      </w:pPr>
    </w:lvl>
    <w:lvl w:ilvl="3" w:tplc="5B948F50">
      <w:start w:val="1"/>
      <w:numFmt w:val="decimal"/>
      <w:lvlText w:val="%4."/>
      <w:lvlJc w:val="left"/>
      <w:pPr>
        <w:ind w:left="1020" w:hanging="360"/>
      </w:pPr>
    </w:lvl>
    <w:lvl w:ilvl="4" w:tplc="6AACA2DA">
      <w:start w:val="1"/>
      <w:numFmt w:val="decimal"/>
      <w:lvlText w:val="%5."/>
      <w:lvlJc w:val="left"/>
      <w:pPr>
        <w:ind w:left="1020" w:hanging="360"/>
      </w:pPr>
    </w:lvl>
    <w:lvl w:ilvl="5" w:tplc="01CE94F4">
      <w:start w:val="1"/>
      <w:numFmt w:val="decimal"/>
      <w:lvlText w:val="%6."/>
      <w:lvlJc w:val="left"/>
      <w:pPr>
        <w:ind w:left="1020" w:hanging="360"/>
      </w:pPr>
    </w:lvl>
    <w:lvl w:ilvl="6" w:tplc="CB5C3176">
      <w:start w:val="1"/>
      <w:numFmt w:val="decimal"/>
      <w:lvlText w:val="%7."/>
      <w:lvlJc w:val="left"/>
      <w:pPr>
        <w:ind w:left="1020" w:hanging="360"/>
      </w:pPr>
    </w:lvl>
    <w:lvl w:ilvl="7" w:tplc="C45C91F4">
      <w:start w:val="1"/>
      <w:numFmt w:val="decimal"/>
      <w:lvlText w:val="%8."/>
      <w:lvlJc w:val="left"/>
      <w:pPr>
        <w:ind w:left="1020" w:hanging="360"/>
      </w:pPr>
    </w:lvl>
    <w:lvl w:ilvl="8" w:tplc="E67836BA">
      <w:start w:val="1"/>
      <w:numFmt w:val="decimal"/>
      <w:lvlText w:val="%9."/>
      <w:lvlJc w:val="left"/>
      <w:pPr>
        <w:ind w:left="1020" w:hanging="360"/>
      </w:pPr>
    </w:lvl>
  </w:abstractNum>
  <w:abstractNum w:abstractNumId="21" w15:restartNumberingAfterBreak="0">
    <w:nsid w:val="14786DEB"/>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2" w15:restartNumberingAfterBreak="0">
    <w:nsid w:val="147E6218"/>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3" w15:restartNumberingAfterBreak="0">
    <w:nsid w:val="15367BF3"/>
    <w:multiLevelType w:val="multilevel"/>
    <w:tmpl w:val="E7D2DFF6"/>
    <w:lvl w:ilvl="0">
      <w:numFmt w:val="bullet"/>
      <w:pStyle w:val="ListBullet"/>
      <w:lvlText w:val=""/>
      <w:lvlJc w:val="left"/>
      <w:pPr>
        <w:tabs>
          <w:tab w:val="num" w:pos="1066"/>
        </w:tabs>
        <w:ind w:left="1066" w:hanging="533"/>
      </w:pPr>
      <w:rPr>
        <w:rFonts w:ascii="Wingdings" w:hAnsi="Wingdings" w:hint="default"/>
        <w:color w:val="auto"/>
      </w:rPr>
    </w:lvl>
    <w:lvl w:ilvl="1">
      <w:numFmt w:val="bullet"/>
      <w:pStyle w:val="ListBullet2"/>
      <w:lvlText w:val="ο"/>
      <w:lvlJc w:val="left"/>
      <w:pPr>
        <w:tabs>
          <w:tab w:val="num" w:pos="1598"/>
        </w:tabs>
        <w:ind w:left="1599" w:hanging="533"/>
      </w:pPr>
      <w:rPr>
        <w:rFonts w:ascii="Courier New" w:hAnsi="Courier New" w:hint="default"/>
        <w:color w:val="auto"/>
      </w:rPr>
    </w:lvl>
    <w:lvl w:ilvl="2">
      <w:numFmt w:val="bullet"/>
      <w:pStyle w:val="ListBullet3"/>
      <w:lvlText w:val=""/>
      <w:lvlJc w:val="left"/>
      <w:pPr>
        <w:tabs>
          <w:tab w:val="num" w:pos="2131"/>
        </w:tabs>
        <w:ind w:left="2132" w:hanging="533"/>
      </w:pPr>
      <w:rPr>
        <w:rFonts w:ascii="Wingdings" w:hAnsi="Wingdings" w:hint="default"/>
        <w:color w:val="auto"/>
      </w:rPr>
    </w:lvl>
    <w:lvl w:ilvl="3">
      <w:numFmt w:val="bullet"/>
      <w:pStyle w:val="ListBullet4"/>
      <w:lvlText w:val="⸰"/>
      <w:lvlJc w:val="left"/>
      <w:pPr>
        <w:tabs>
          <w:tab w:val="num" w:pos="2664"/>
        </w:tabs>
        <w:ind w:left="2665" w:hanging="533"/>
      </w:pPr>
      <w:rPr>
        <w:rFonts w:ascii="Roboto" w:hAnsi="Roboto" w:hint="default"/>
        <w:color w:val="auto"/>
      </w:rPr>
    </w:lvl>
    <w:lvl w:ilvl="4">
      <w:numFmt w:val="none"/>
      <w:lvlText w:val="%5"/>
      <w:lvlJc w:val="left"/>
      <w:pPr>
        <w:tabs>
          <w:tab w:val="num" w:pos="3197"/>
        </w:tabs>
        <w:ind w:left="3198" w:hanging="533"/>
      </w:pPr>
      <w:rPr>
        <w:rFonts w:hint="default"/>
      </w:rPr>
    </w:lvl>
    <w:lvl w:ilvl="5">
      <w:numFmt w:val="none"/>
      <w:lvlText w:val="%6"/>
      <w:lvlJc w:val="left"/>
      <w:pPr>
        <w:tabs>
          <w:tab w:val="num" w:pos="3730"/>
        </w:tabs>
        <w:ind w:left="3731" w:hanging="533"/>
      </w:pPr>
      <w:rPr>
        <w:rFonts w:hint="default"/>
      </w:rPr>
    </w:lvl>
    <w:lvl w:ilvl="6">
      <w:numFmt w:val="none"/>
      <w:lvlText w:val="%7"/>
      <w:lvlJc w:val="left"/>
      <w:pPr>
        <w:tabs>
          <w:tab w:val="num" w:pos="4262"/>
        </w:tabs>
        <w:ind w:left="4264" w:hanging="533"/>
      </w:pPr>
      <w:rPr>
        <w:rFonts w:hint="default"/>
      </w:rPr>
    </w:lvl>
    <w:lvl w:ilvl="7">
      <w:numFmt w:val="none"/>
      <w:lvlText w:val="%8"/>
      <w:lvlJc w:val="left"/>
      <w:pPr>
        <w:tabs>
          <w:tab w:val="num" w:pos="4795"/>
        </w:tabs>
        <w:ind w:left="4797" w:hanging="533"/>
      </w:pPr>
      <w:rPr>
        <w:rFonts w:hint="default"/>
      </w:rPr>
    </w:lvl>
    <w:lvl w:ilvl="8">
      <w:numFmt w:val="none"/>
      <w:lvlText w:val="%9"/>
      <w:lvlJc w:val="left"/>
      <w:pPr>
        <w:tabs>
          <w:tab w:val="num" w:pos="5328"/>
        </w:tabs>
        <w:ind w:left="5330" w:hanging="533"/>
      </w:pPr>
      <w:rPr>
        <w:rFonts w:hint="default"/>
      </w:rPr>
    </w:lvl>
  </w:abstractNum>
  <w:abstractNum w:abstractNumId="24" w15:restartNumberingAfterBreak="0">
    <w:nsid w:val="1739247B"/>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5" w15:restartNumberingAfterBreak="0">
    <w:nsid w:val="1BC341C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6" w15:restartNumberingAfterBreak="0">
    <w:nsid w:val="1E89295E"/>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7" w15:restartNumberingAfterBreak="0">
    <w:nsid w:val="20021C44"/>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0103452"/>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9" w15:restartNumberingAfterBreak="0">
    <w:nsid w:val="208E29D6"/>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0" w15:restartNumberingAfterBreak="0">
    <w:nsid w:val="2186541D"/>
    <w:multiLevelType w:val="hybridMultilevel"/>
    <w:tmpl w:val="4F20E2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24AB6C7E"/>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2" w15:restartNumberingAfterBreak="0">
    <w:nsid w:val="284A5293"/>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3" w15:restartNumberingAfterBreak="0">
    <w:nsid w:val="28D07B54"/>
    <w:multiLevelType w:val="hybridMultilevel"/>
    <w:tmpl w:val="28D85AD0"/>
    <w:lvl w:ilvl="0" w:tplc="7396C07E">
      <w:start w:val="1"/>
      <w:numFmt w:val="bullet"/>
      <w:lvlText w:val=""/>
      <w:lvlJc w:val="left"/>
      <w:pPr>
        <w:ind w:left="720" w:hanging="360"/>
      </w:pPr>
      <w:rPr>
        <w:rFonts w:ascii="Symbol" w:hAnsi="Symbol"/>
      </w:rPr>
    </w:lvl>
    <w:lvl w:ilvl="1" w:tplc="3DB6BCF8">
      <w:start w:val="1"/>
      <w:numFmt w:val="bullet"/>
      <w:lvlText w:val=""/>
      <w:lvlJc w:val="left"/>
      <w:pPr>
        <w:ind w:left="720" w:hanging="360"/>
      </w:pPr>
      <w:rPr>
        <w:rFonts w:ascii="Symbol" w:hAnsi="Symbol"/>
      </w:rPr>
    </w:lvl>
    <w:lvl w:ilvl="2" w:tplc="274AB6BC">
      <w:start w:val="1"/>
      <w:numFmt w:val="bullet"/>
      <w:lvlText w:val=""/>
      <w:lvlJc w:val="left"/>
      <w:pPr>
        <w:ind w:left="720" w:hanging="360"/>
      </w:pPr>
      <w:rPr>
        <w:rFonts w:ascii="Symbol" w:hAnsi="Symbol"/>
      </w:rPr>
    </w:lvl>
    <w:lvl w:ilvl="3" w:tplc="D07CC400">
      <w:start w:val="1"/>
      <w:numFmt w:val="bullet"/>
      <w:lvlText w:val=""/>
      <w:lvlJc w:val="left"/>
      <w:pPr>
        <w:ind w:left="720" w:hanging="360"/>
      </w:pPr>
      <w:rPr>
        <w:rFonts w:ascii="Symbol" w:hAnsi="Symbol"/>
      </w:rPr>
    </w:lvl>
    <w:lvl w:ilvl="4" w:tplc="D96C8900">
      <w:start w:val="1"/>
      <w:numFmt w:val="bullet"/>
      <w:lvlText w:val=""/>
      <w:lvlJc w:val="left"/>
      <w:pPr>
        <w:ind w:left="720" w:hanging="360"/>
      </w:pPr>
      <w:rPr>
        <w:rFonts w:ascii="Symbol" w:hAnsi="Symbol"/>
      </w:rPr>
    </w:lvl>
    <w:lvl w:ilvl="5" w:tplc="5BD687F4">
      <w:start w:val="1"/>
      <w:numFmt w:val="bullet"/>
      <w:lvlText w:val=""/>
      <w:lvlJc w:val="left"/>
      <w:pPr>
        <w:ind w:left="720" w:hanging="360"/>
      </w:pPr>
      <w:rPr>
        <w:rFonts w:ascii="Symbol" w:hAnsi="Symbol"/>
      </w:rPr>
    </w:lvl>
    <w:lvl w:ilvl="6" w:tplc="1D3CF14A">
      <w:start w:val="1"/>
      <w:numFmt w:val="bullet"/>
      <w:lvlText w:val=""/>
      <w:lvlJc w:val="left"/>
      <w:pPr>
        <w:ind w:left="720" w:hanging="360"/>
      </w:pPr>
      <w:rPr>
        <w:rFonts w:ascii="Symbol" w:hAnsi="Symbol"/>
      </w:rPr>
    </w:lvl>
    <w:lvl w:ilvl="7" w:tplc="57EAFF48">
      <w:start w:val="1"/>
      <w:numFmt w:val="bullet"/>
      <w:lvlText w:val=""/>
      <w:lvlJc w:val="left"/>
      <w:pPr>
        <w:ind w:left="720" w:hanging="360"/>
      </w:pPr>
      <w:rPr>
        <w:rFonts w:ascii="Symbol" w:hAnsi="Symbol"/>
      </w:rPr>
    </w:lvl>
    <w:lvl w:ilvl="8" w:tplc="3420F7F0">
      <w:start w:val="1"/>
      <w:numFmt w:val="bullet"/>
      <w:lvlText w:val=""/>
      <w:lvlJc w:val="left"/>
      <w:pPr>
        <w:ind w:left="720" w:hanging="360"/>
      </w:pPr>
      <w:rPr>
        <w:rFonts w:ascii="Symbol" w:hAnsi="Symbol"/>
      </w:rPr>
    </w:lvl>
  </w:abstractNum>
  <w:abstractNum w:abstractNumId="34" w15:restartNumberingAfterBreak="0">
    <w:nsid w:val="2A9A123C"/>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5" w15:restartNumberingAfterBreak="0">
    <w:nsid w:val="2C491D8F"/>
    <w:multiLevelType w:val="multilevel"/>
    <w:tmpl w:val="C46CE8E6"/>
    <w:numStyleLink w:val="NumberedList"/>
  </w:abstractNum>
  <w:abstractNum w:abstractNumId="36" w15:restartNumberingAfterBreak="0">
    <w:nsid w:val="302B135F"/>
    <w:multiLevelType w:val="multilevel"/>
    <w:tmpl w:val="BC14D4E2"/>
    <w:lvl w:ilvl="0">
      <w:start w:val="1"/>
      <w:numFmt w:val="decimal"/>
      <w:lvlText w:val="%1)"/>
      <w:lvlJc w:val="left"/>
      <w:pPr>
        <w:tabs>
          <w:tab w:val="num" w:pos="533"/>
        </w:tabs>
        <w:ind w:left="1066" w:hanging="533"/>
      </w:pPr>
      <w:rPr>
        <w:rFonts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7" w15:restartNumberingAfterBreak="0">
    <w:nsid w:val="306B2426"/>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8" w15:restartNumberingAfterBreak="0">
    <w:nsid w:val="31430EC4"/>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9" w15:restartNumberingAfterBreak="0">
    <w:nsid w:val="3595445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0" w15:restartNumberingAfterBreak="0">
    <w:nsid w:val="37964334"/>
    <w:multiLevelType w:val="hybridMultilevel"/>
    <w:tmpl w:val="F252D3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39244F1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2" w15:restartNumberingAfterBreak="0">
    <w:nsid w:val="3AC378BF"/>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3" w15:restartNumberingAfterBreak="0">
    <w:nsid w:val="3C0A1E6B"/>
    <w:multiLevelType w:val="hybridMultilevel"/>
    <w:tmpl w:val="AB5A31D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3C930275"/>
    <w:multiLevelType w:val="multilevel"/>
    <w:tmpl w:val="F9968008"/>
    <w:lvl w:ilvl="0">
      <w:start w:val="1"/>
      <w:numFmt w:val="upperLetter"/>
      <w:pStyle w:val="AnnexHeading1"/>
      <w:suff w:val="space"/>
      <w:lvlText w:val="Annex %1:"/>
      <w:lvlJc w:val="left"/>
      <w:pPr>
        <w:ind w:left="432" w:hanging="432"/>
      </w:pPr>
      <w:rPr>
        <w:rFonts w:ascii="Arial" w:hAnsi="Arial" w:cs="Arial" w:hint="default"/>
        <w:b/>
        <w:i w:val="0"/>
      </w:rPr>
    </w:lvl>
    <w:lvl w:ilvl="1">
      <w:start w:val="1"/>
      <w:numFmt w:val="decimal"/>
      <w:pStyle w:val="AnnexHeading2"/>
      <w:suff w:val="space"/>
      <w:lvlText w:val="%1.%2"/>
      <w:lvlJc w:val="left"/>
      <w:pPr>
        <w:ind w:left="432" w:hanging="43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AnnexHeading3"/>
      <w:suff w:val="space"/>
      <w:lvlText w:val="%1.%2.%3"/>
      <w:lvlJc w:val="left"/>
      <w:pPr>
        <w:ind w:left="432" w:hanging="432"/>
      </w:pPr>
      <w:rPr>
        <w:rFonts w:hint="default"/>
        <w:b/>
        <w:i w:val="0"/>
      </w:rPr>
    </w:lvl>
    <w:lvl w:ilvl="3">
      <w:start w:val="1"/>
      <w:numFmt w:val="decimal"/>
      <w:pStyle w:val="AnnexHeading4"/>
      <w:suff w:val="space"/>
      <w:lvlText w:val="%1.%2.%3.%4"/>
      <w:lvlJc w:val="left"/>
      <w:pPr>
        <w:ind w:left="432" w:hanging="432"/>
      </w:pPr>
      <w:rPr>
        <w:rFonts w:hint="default"/>
        <w:b/>
        <w:i w:val="0"/>
      </w:rPr>
    </w:lvl>
    <w:lvl w:ilvl="4">
      <w:start w:val="1"/>
      <w:numFmt w:val="decimal"/>
      <w:pStyle w:val="AnnexHeading5"/>
      <w:lvlText w:val="%1.%2.%3.%4.%5"/>
      <w:lvlJc w:val="left"/>
      <w:pPr>
        <w:ind w:left="432" w:hanging="432"/>
      </w:pPr>
      <w:rPr>
        <w:rFonts w:hint="default"/>
        <w:b/>
        <w:i w:val="0"/>
      </w:rPr>
    </w:lvl>
    <w:lvl w:ilvl="5">
      <w:start w:val="1"/>
      <w:numFmt w:val="none"/>
      <w:suff w:val="space"/>
      <w:lvlText w:val=""/>
      <w:lvlJc w:val="left"/>
      <w:pPr>
        <w:ind w:left="432" w:hanging="432"/>
      </w:pPr>
      <w:rPr>
        <w:rFonts w:hint="default"/>
        <w:b/>
        <w:i w:val="0"/>
      </w:rPr>
    </w:lvl>
    <w:lvl w:ilvl="6">
      <w:start w:val="1"/>
      <w:numFmt w:val="none"/>
      <w:suff w:val="space"/>
      <w:lvlText w:val=""/>
      <w:lvlJc w:val="left"/>
      <w:pPr>
        <w:ind w:left="432" w:hanging="432"/>
      </w:pPr>
      <w:rPr>
        <w:rFonts w:hint="default"/>
      </w:rPr>
    </w:lvl>
    <w:lvl w:ilvl="7">
      <w:start w:val="1"/>
      <w:numFmt w:val="none"/>
      <w:suff w:val="space"/>
      <w:lvlText w:val=""/>
      <w:lvlJc w:val="left"/>
      <w:pPr>
        <w:ind w:left="432" w:hanging="432"/>
      </w:pPr>
      <w:rPr>
        <w:rFonts w:hint="default"/>
      </w:rPr>
    </w:lvl>
    <w:lvl w:ilvl="8">
      <w:start w:val="1"/>
      <w:numFmt w:val="none"/>
      <w:suff w:val="space"/>
      <w:lvlText w:val=""/>
      <w:lvlJc w:val="left"/>
      <w:pPr>
        <w:ind w:left="432" w:hanging="432"/>
      </w:pPr>
      <w:rPr>
        <w:rFonts w:hint="default"/>
      </w:rPr>
    </w:lvl>
  </w:abstractNum>
  <w:abstractNum w:abstractNumId="45" w15:restartNumberingAfterBreak="0">
    <w:nsid w:val="3F427C41"/>
    <w:multiLevelType w:val="multilevel"/>
    <w:tmpl w:val="1F321308"/>
    <w:lvl w:ilvl="0">
      <w:start w:val="1"/>
      <w:numFmt w:val="decimal"/>
      <w:pStyle w:val="Heading1"/>
      <w:suff w:val="space"/>
      <w:lvlText w:val="%1"/>
      <w:lvlJc w:val="left"/>
      <w:pPr>
        <w:ind w:left="432" w:hanging="432"/>
      </w:pPr>
    </w:lvl>
    <w:lvl w:ilvl="1">
      <w:start w:val="1"/>
      <w:numFmt w:val="decimal"/>
      <w:pStyle w:val="Heading2"/>
      <w:suff w:val="space"/>
      <w:lvlText w:val="%1.%2"/>
      <w:lvlJc w:val="left"/>
      <w:pPr>
        <w:ind w:left="432" w:hanging="432"/>
      </w:pPr>
      <w:rPr>
        <w:rFonts w:hint="default"/>
      </w:rPr>
    </w:lvl>
    <w:lvl w:ilvl="2">
      <w:start w:val="1"/>
      <w:numFmt w:val="decimal"/>
      <w:pStyle w:val="Heading3"/>
      <w:suff w:val="space"/>
      <w:lvlText w:val="%1.%2.%3"/>
      <w:lvlJc w:val="left"/>
      <w:pPr>
        <w:ind w:left="432" w:hanging="432"/>
      </w:pPr>
      <w:rPr>
        <w:rFonts w:hint="default"/>
      </w:rPr>
    </w:lvl>
    <w:lvl w:ilvl="3">
      <w:start w:val="1"/>
      <w:numFmt w:val="decimal"/>
      <w:pStyle w:val="Heading4"/>
      <w:suff w:val="space"/>
      <w:lvlText w:val="%1.%2.%3.%4"/>
      <w:lvlJc w:val="left"/>
      <w:pPr>
        <w:ind w:left="432" w:hanging="432"/>
      </w:pPr>
      <w:rPr>
        <w:rFonts w:hint="default"/>
        <w:lang w:val="fr-CA"/>
      </w:rPr>
    </w:lvl>
    <w:lvl w:ilvl="4">
      <w:start w:val="1"/>
      <w:numFmt w:val="decimal"/>
      <w:pStyle w:val="Heading5"/>
      <w:suff w:val="space"/>
      <w:lvlText w:val="%1.%2.%3.%4.%5"/>
      <w:lvlJc w:val="left"/>
      <w:pPr>
        <w:ind w:left="432" w:hanging="432"/>
      </w:pPr>
      <w:rPr>
        <w:rFonts w:hint="default"/>
      </w:rPr>
    </w:lvl>
    <w:lvl w:ilvl="5">
      <w:start w:val="1"/>
      <w:numFmt w:val="decimal"/>
      <w:suff w:val="space"/>
      <w:lvlText w:val="%1.%2.%3.%4.%5.%6"/>
      <w:lvlJc w:val="left"/>
      <w:pPr>
        <w:ind w:left="432" w:hanging="432"/>
      </w:pPr>
      <w:rPr>
        <w:rFonts w:hint="default"/>
      </w:rPr>
    </w:lvl>
    <w:lvl w:ilvl="6">
      <w:start w:val="1"/>
      <w:numFmt w:val="decimal"/>
      <w:suff w:val="space"/>
      <w:lvlText w:val="%1.%2.%3.%4.%5.%6.%7"/>
      <w:lvlJc w:val="left"/>
      <w:pPr>
        <w:ind w:left="432" w:hanging="432"/>
      </w:pPr>
      <w:rPr>
        <w:rFonts w:hint="default"/>
      </w:rPr>
    </w:lvl>
    <w:lvl w:ilvl="7">
      <w:start w:val="1"/>
      <w:numFmt w:val="decimal"/>
      <w:suff w:val="space"/>
      <w:lvlText w:val="%1.%2.%3.%4.%5.%6.%7.%8"/>
      <w:lvlJc w:val="left"/>
      <w:pPr>
        <w:ind w:left="432" w:hanging="432"/>
      </w:pPr>
      <w:rPr>
        <w:rFonts w:hint="default"/>
      </w:rPr>
    </w:lvl>
    <w:lvl w:ilvl="8">
      <w:start w:val="1"/>
      <w:numFmt w:val="decimal"/>
      <w:suff w:val="space"/>
      <w:lvlText w:val="%1.%2.%3.%4.%5.%6.%7.%8.%9"/>
      <w:lvlJc w:val="left"/>
      <w:pPr>
        <w:ind w:left="432" w:hanging="432"/>
      </w:pPr>
      <w:rPr>
        <w:rFonts w:hint="default"/>
      </w:rPr>
    </w:lvl>
  </w:abstractNum>
  <w:abstractNum w:abstractNumId="46" w15:restartNumberingAfterBreak="0">
    <w:nsid w:val="410D5E0C"/>
    <w:multiLevelType w:val="multilevel"/>
    <w:tmpl w:val="C46CE8E6"/>
    <w:numStyleLink w:val="NumberedList"/>
  </w:abstractNum>
  <w:abstractNum w:abstractNumId="47" w15:restartNumberingAfterBreak="0">
    <w:nsid w:val="42B01EA7"/>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8" w15:restartNumberingAfterBreak="0">
    <w:nsid w:val="44301AC1"/>
    <w:multiLevelType w:val="multilevel"/>
    <w:tmpl w:val="C46CE8E6"/>
    <w:numStyleLink w:val="NumberedList"/>
  </w:abstractNum>
  <w:abstractNum w:abstractNumId="49" w15:restartNumberingAfterBreak="0">
    <w:nsid w:val="46752D52"/>
    <w:multiLevelType w:val="multilevel"/>
    <w:tmpl w:val="A96E5C84"/>
    <w:numStyleLink w:val="BulletedList"/>
  </w:abstractNum>
  <w:abstractNum w:abstractNumId="50" w15:restartNumberingAfterBreak="0">
    <w:nsid w:val="46AB4E7A"/>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1" w15:restartNumberingAfterBreak="0">
    <w:nsid w:val="49D0753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2" w15:restartNumberingAfterBreak="0">
    <w:nsid w:val="4A630C23"/>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3" w15:restartNumberingAfterBreak="0">
    <w:nsid w:val="50D65855"/>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4" w15:restartNumberingAfterBreak="0">
    <w:nsid w:val="51851FD9"/>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5" w15:restartNumberingAfterBreak="0">
    <w:nsid w:val="5251437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6" w15:restartNumberingAfterBreak="0">
    <w:nsid w:val="55B25047"/>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7" w15:restartNumberingAfterBreak="0">
    <w:nsid w:val="56454AB7"/>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8" w15:restartNumberingAfterBreak="0">
    <w:nsid w:val="5797738F"/>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9" w15:restartNumberingAfterBreak="0">
    <w:nsid w:val="57B15D6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0" w15:restartNumberingAfterBreak="0">
    <w:nsid w:val="58254D4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1" w15:restartNumberingAfterBreak="0">
    <w:nsid w:val="589E777B"/>
    <w:multiLevelType w:val="multilevel"/>
    <w:tmpl w:val="A96E5C84"/>
    <w:numStyleLink w:val="BulletedList"/>
  </w:abstractNum>
  <w:abstractNum w:abstractNumId="62" w15:restartNumberingAfterBreak="0">
    <w:nsid w:val="589E78BE"/>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3" w15:restartNumberingAfterBreak="0">
    <w:nsid w:val="5CD2356C"/>
    <w:multiLevelType w:val="multilevel"/>
    <w:tmpl w:val="A96E5C84"/>
    <w:styleLink w:val="BulletedList"/>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4" w15:restartNumberingAfterBreak="0">
    <w:nsid w:val="61E25A14"/>
    <w:multiLevelType w:val="multilevel"/>
    <w:tmpl w:val="C46CE8E6"/>
    <w:numStyleLink w:val="NumberedList"/>
  </w:abstractNum>
  <w:abstractNum w:abstractNumId="65" w15:restartNumberingAfterBreak="0">
    <w:nsid w:val="622560AA"/>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6" w15:restartNumberingAfterBreak="0">
    <w:nsid w:val="62E9554A"/>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7" w15:restartNumberingAfterBreak="0">
    <w:nsid w:val="646B1968"/>
    <w:multiLevelType w:val="multilevel"/>
    <w:tmpl w:val="B33469A2"/>
    <w:lvl w:ilvl="0">
      <w:start w:val="1"/>
      <w:numFmt w:val="upperLetter"/>
      <w:pStyle w:val="ListNumber"/>
      <w:lvlText w:val="%1)"/>
      <w:lvlJc w:val="left"/>
      <w:pPr>
        <w:tabs>
          <w:tab w:val="num" w:pos="1066"/>
        </w:tabs>
        <w:ind w:left="1066" w:hanging="533"/>
      </w:pPr>
      <w:rPr>
        <w:rFonts w:hint="default"/>
      </w:rPr>
    </w:lvl>
    <w:lvl w:ilvl="1">
      <w:start w:val="1"/>
      <w:numFmt w:val="decimal"/>
      <w:pStyle w:val="ListNumber2"/>
      <w:lvlText w:val="%2)"/>
      <w:lvlJc w:val="left"/>
      <w:pPr>
        <w:tabs>
          <w:tab w:val="num" w:pos="1599"/>
        </w:tabs>
        <w:ind w:left="1599" w:hanging="533"/>
      </w:pPr>
      <w:rPr>
        <w:rFonts w:hint="default"/>
      </w:rPr>
    </w:lvl>
    <w:lvl w:ilvl="2">
      <w:start w:val="1"/>
      <w:numFmt w:val="lowerLetter"/>
      <w:pStyle w:val="ListNumber3"/>
      <w:lvlText w:val="%3)"/>
      <w:lvlJc w:val="left"/>
      <w:pPr>
        <w:tabs>
          <w:tab w:val="num" w:pos="2132"/>
        </w:tabs>
        <w:ind w:left="2132" w:hanging="533"/>
      </w:pPr>
      <w:rPr>
        <w:rFonts w:hint="default"/>
      </w:rPr>
    </w:lvl>
    <w:lvl w:ilvl="3">
      <w:start w:val="1"/>
      <w:numFmt w:val="lowerRoman"/>
      <w:pStyle w:val="ListNumber4"/>
      <w:lvlText w:val="%4)"/>
      <w:lvlJc w:val="left"/>
      <w:pPr>
        <w:tabs>
          <w:tab w:val="num" w:pos="2665"/>
        </w:tabs>
        <w:ind w:left="2665" w:hanging="533"/>
      </w:pPr>
      <w:rPr>
        <w:rFonts w:hint="default"/>
      </w:rPr>
    </w:lvl>
    <w:lvl w:ilvl="4">
      <w:start w:val="1"/>
      <w:numFmt w:val="none"/>
      <w:lvlText w:val=""/>
      <w:lvlJc w:val="left"/>
      <w:pPr>
        <w:tabs>
          <w:tab w:val="num" w:pos="3198"/>
        </w:tabs>
        <w:ind w:left="3198" w:hanging="533"/>
      </w:pPr>
      <w:rPr>
        <w:rFonts w:hint="default"/>
        <w:color w:val="auto"/>
      </w:rPr>
    </w:lvl>
    <w:lvl w:ilvl="5">
      <w:start w:val="1"/>
      <w:numFmt w:val="none"/>
      <w:lvlText w:val=""/>
      <w:lvlJc w:val="left"/>
      <w:pPr>
        <w:tabs>
          <w:tab w:val="num" w:pos="3731"/>
        </w:tabs>
        <w:ind w:left="3731" w:hanging="533"/>
      </w:pPr>
      <w:rPr>
        <w:rFonts w:hint="default"/>
        <w:color w:val="auto"/>
      </w:rPr>
    </w:lvl>
    <w:lvl w:ilvl="6">
      <w:start w:val="1"/>
      <w:numFmt w:val="none"/>
      <w:lvlText w:val=""/>
      <w:lvlJc w:val="left"/>
      <w:pPr>
        <w:tabs>
          <w:tab w:val="num" w:pos="4264"/>
        </w:tabs>
        <w:ind w:left="4264" w:hanging="533"/>
      </w:pPr>
      <w:rPr>
        <w:rFonts w:hint="default"/>
        <w:color w:val="auto"/>
      </w:rPr>
    </w:lvl>
    <w:lvl w:ilvl="7">
      <w:start w:val="1"/>
      <w:numFmt w:val="none"/>
      <w:lvlText w:val=""/>
      <w:lvlJc w:val="left"/>
      <w:pPr>
        <w:tabs>
          <w:tab w:val="num" w:pos="4797"/>
        </w:tabs>
        <w:ind w:left="4797" w:hanging="533"/>
      </w:pPr>
      <w:rPr>
        <w:rFonts w:hint="default"/>
        <w:color w:val="auto"/>
      </w:rPr>
    </w:lvl>
    <w:lvl w:ilvl="8">
      <w:start w:val="1"/>
      <w:numFmt w:val="none"/>
      <w:lvlText w:val=""/>
      <w:lvlJc w:val="left"/>
      <w:pPr>
        <w:tabs>
          <w:tab w:val="num" w:pos="5330"/>
        </w:tabs>
        <w:ind w:left="5330" w:hanging="533"/>
      </w:pPr>
      <w:rPr>
        <w:rFonts w:hint="default"/>
        <w:color w:val="auto"/>
      </w:rPr>
    </w:lvl>
  </w:abstractNum>
  <w:abstractNum w:abstractNumId="68" w15:restartNumberingAfterBreak="0">
    <w:nsid w:val="65F82C66"/>
    <w:multiLevelType w:val="multilevel"/>
    <w:tmpl w:val="C46CE8E6"/>
    <w:styleLink w:val="NumberedList"/>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9" w15:restartNumberingAfterBreak="0">
    <w:nsid w:val="665D4DFB"/>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0" w15:restartNumberingAfterBreak="0">
    <w:nsid w:val="670F709A"/>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1" w15:restartNumberingAfterBreak="0">
    <w:nsid w:val="686F48A7"/>
    <w:multiLevelType w:val="hybridMultilevel"/>
    <w:tmpl w:val="D7902988"/>
    <w:lvl w:ilvl="0" w:tplc="D4D44F80">
      <w:start w:val="1"/>
      <w:numFmt w:val="bullet"/>
      <w:lvlText w:val=""/>
      <w:lvlJc w:val="left"/>
      <w:pPr>
        <w:ind w:left="720" w:hanging="360"/>
      </w:pPr>
      <w:rPr>
        <w:rFonts w:ascii="Symbol" w:hAnsi="Symbol"/>
      </w:rPr>
    </w:lvl>
    <w:lvl w:ilvl="1" w:tplc="5EC28B10">
      <w:start w:val="1"/>
      <w:numFmt w:val="bullet"/>
      <w:lvlText w:val=""/>
      <w:lvlJc w:val="left"/>
      <w:pPr>
        <w:ind w:left="720" w:hanging="360"/>
      </w:pPr>
      <w:rPr>
        <w:rFonts w:ascii="Symbol" w:hAnsi="Symbol"/>
      </w:rPr>
    </w:lvl>
    <w:lvl w:ilvl="2" w:tplc="5CA23802">
      <w:start w:val="1"/>
      <w:numFmt w:val="bullet"/>
      <w:lvlText w:val=""/>
      <w:lvlJc w:val="left"/>
      <w:pPr>
        <w:ind w:left="720" w:hanging="360"/>
      </w:pPr>
      <w:rPr>
        <w:rFonts w:ascii="Symbol" w:hAnsi="Symbol"/>
      </w:rPr>
    </w:lvl>
    <w:lvl w:ilvl="3" w:tplc="154680C0">
      <w:start w:val="1"/>
      <w:numFmt w:val="bullet"/>
      <w:lvlText w:val=""/>
      <w:lvlJc w:val="left"/>
      <w:pPr>
        <w:ind w:left="720" w:hanging="360"/>
      </w:pPr>
      <w:rPr>
        <w:rFonts w:ascii="Symbol" w:hAnsi="Symbol"/>
      </w:rPr>
    </w:lvl>
    <w:lvl w:ilvl="4" w:tplc="D7AEED84">
      <w:start w:val="1"/>
      <w:numFmt w:val="bullet"/>
      <w:lvlText w:val=""/>
      <w:lvlJc w:val="left"/>
      <w:pPr>
        <w:ind w:left="720" w:hanging="360"/>
      </w:pPr>
      <w:rPr>
        <w:rFonts w:ascii="Symbol" w:hAnsi="Symbol"/>
      </w:rPr>
    </w:lvl>
    <w:lvl w:ilvl="5" w:tplc="97BC8382">
      <w:start w:val="1"/>
      <w:numFmt w:val="bullet"/>
      <w:lvlText w:val=""/>
      <w:lvlJc w:val="left"/>
      <w:pPr>
        <w:ind w:left="720" w:hanging="360"/>
      </w:pPr>
      <w:rPr>
        <w:rFonts w:ascii="Symbol" w:hAnsi="Symbol"/>
      </w:rPr>
    </w:lvl>
    <w:lvl w:ilvl="6" w:tplc="A1DCF906">
      <w:start w:val="1"/>
      <w:numFmt w:val="bullet"/>
      <w:lvlText w:val=""/>
      <w:lvlJc w:val="left"/>
      <w:pPr>
        <w:ind w:left="720" w:hanging="360"/>
      </w:pPr>
      <w:rPr>
        <w:rFonts w:ascii="Symbol" w:hAnsi="Symbol"/>
      </w:rPr>
    </w:lvl>
    <w:lvl w:ilvl="7" w:tplc="E3E20B1E">
      <w:start w:val="1"/>
      <w:numFmt w:val="bullet"/>
      <w:lvlText w:val=""/>
      <w:lvlJc w:val="left"/>
      <w:pPr>
        <w:ind w:left="720" w:hanging="360"/>
      </w:pPr>
      <w:rPr>
        <w:rFonts w:ascii="Symbol" w:hAnsi="Symbol"/>
      </w:rPr>
    </w:lvl>
    <w:lvl w:ilvl="8" w:tplc="E6C4A988">
      <w:start w:val="1"/>
      <w:numFmt w:val="bullet"/>
      <w:lvlText w:val=""/>
      <w:lvlJc w:val="left"/>
      <w:pPr>
        <w:ind w:left="720" w:hanging="360"/>
      </w:pPr>
      <w:rPr>
        <w:rFonts w:ascii="Symbol" w:hAnsi="Symbol"/>
      </w:rPr>
    </w:lvl>
  </w:abstractNum>
  <w:abstractNum w:abstractNumId="72" w15:restartNumberingAfterBreak="0">
    <w:nsid w:val="6906613D"/>
    <w:multiLevelType w:val="hybridMultilevel"/>
    <w:tmpl w:val="4754BA54"/>
    <w:lvl w:ilvl="0" w:tplc="CA5808B0">
      <w:start w:val="1"/>
      <w:numFmt w:val="bullet"/>
      <w:lvlText w:val=""/>
      <w:lvlJc w:val="left"/>
      <w:pPr>
        <w:ind w:left="720" w:hanging="360"/>
      </w:pPr>
      <w:rPr>
        <w:rFonts w:ascii="Symbol" w:hAnsi="Symbol"/>
      </w:rPr>
    </w:lvl>
    <w:lvl w:ilvl="1" w:tplc="93E2E7B0">
      <w:start w:val="1"/>
      <w:numFmt w:val="bullet"/>
      <w:lvlText w:val=""/>
      <w:lvlJc w:val="left"/>
      <w:pPr>
        <w:ind w:left="720" w:hanging="360"/>
      </w:pPr>
      <w:rPr>
        <w:rFonts w:ascii="Symbol" w:hAnsi="Symbol"/>
      </w:rPr>
    </w:lvl>
    <w:lvl w:ilvl="2" w:tplc="C7302E58">
      <w:start w:val="1"/>
      <w:numFmt w:val="bullet"/>
      <w:lvlText w:val=""/>
      <w:lvlJc w:val="left"/>
      <w:pPr>
        <w:ind w:left="720" w:hanging="360"/>
      </w:pPr>
      <w:rPr>
        <w:rFonts w:ascii="Symbol" w:hAnsi="Symbol"/>
      </w:rPr>
    </w:lvl>
    <w:lvl w:ilvl="3" w:tplc="41BAD2BA">
      <w:start w:val="1"/>
      <w:numFmt w:val="bullet"/>
      <w:lvlText w:val=""/>
      <w:lvlJc w:val="left"/>
      <w:pPr>
        <w:ind w:left="720" w:hanging="360"/>
      </w:pPr>
      <w:rPr>
        <w:rFonts w:ascii="Symbol" w:hAnsi="Symbol"/>
      </w:rPr>
    </w:lvl>
    <w:lvl w:ilvl="4" w:tplc="E39098A4">
      <w:start w:val="1"/>
      <w:numFmt w:val="bullet"/>
      <w:lvlText w:val=""/>
      <w:lvlJc w:val="left"/>
      <w:pPr>
        <w:ind w:left="720" w:hanging="360"/>
      </w:pPr>
      <w:rPr>
        <w:rFonts w:ascii="Symbol" w:hAnsi="Symbol"/>
      </w:rPr>
    </w:lvl>
    <w:lvl w:ilvl="5" w:tplc="63505E42">
      <w:start w:val="1"/>
      <w:numFmt w:val="bullet"/>
      <w:lvlText w:val=""/>
      <w:lvlJc w:val="left"/>
      <w:pPr>
        <w:ind w:left="720" w:hanging="360"/>
      </w:pPr>
      <w:rPr>
        <w:rFonts w:ascii="Symbol" w:hAnsi="Symbol"/>
      </w:rPr>
    </w:lvl>
    <w:lvl w:ilvl="6" w:tplc="9A68F8E0">
      <w:start w:val="1"/>
      <w:numFmt w:val="bullet"/>
      <w:lvlText w:val=""/>
      <w:lvlJc w:val="left"/>
      <w:pPr>
        <w:ind w:left="720" w:hanging="360"/>
      </w:pPr>
      <w:rPr>
        <w:rFonts w:ascii="Symbol" w:hAnsi="Symbol"/>
      </w:rPr>
    </w:lvl>
    <w:lvl w:ilvl="7" w:tplc="58867E2C">
      <w:start w:val="1"/>
      <w:numFmt w:val="bullet"/>
      <w:lvlText w:val=""/>
      <w:lvlJc w:val="left"/>
      <w:pPr>
        <w:ind w:left="720" w:hanging="360"/>
      </w:pPr>
      <w:rPr>
        <w:rFonts w:ascii="Symbol" w:hAnsi="Symbol"/>
      </w:rPr>
    </w:lvl>
    <w:lvl w:ilvl="8" w:tplc="CA383FDA">
      <w:start w:val="1"/>
      <w:numFmt w:val="bullet"/>
      <w:lvlText w:val=""/>
      <w:lvlJc w:val="left"/>
      <w:pPr>
        <w:ind w:left="720" w:hanging="360"/>
      </w:pPr>
      <w:rPr>
        <w:rFonts w:ascii="Symbol" w:hAnsi="Symbol"/>
      </w:rPr>
    </w:lvl>
  </w:abstractNum>
  <w:abstractNum w:abstractNumId="73" w15:restartNumberingAfterBreak="0">
    <w:nsid w:val="69CB690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4" w15:restartNumberingAfterBreak="0">
    <w:nsid w:val="6A1D2584"/>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5" w15:restartNumberingAfterBreak="0">
    <w:nsid w:val="6AA33FD1"/>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6" w15:restartNumberingAfterBreak="0">
    <w:nsid w:val="6BE9297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7" w15:restartNumberingAfterBreak="0">
    <w:nsid w:val="70DF5F8C"/>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8" w15:restartNumberingAfterBreak="0">
    <w:nsid w:val="71CC7348"/>
    <w:multiLevelType w:val="multilevel"/>
    <w:tmpl w:val="C46CE8E6"/>
    <w:numStyleLink w:val="NumberedList"/>
  </w:abstractNum>
  <w:abstractNum w:abstractNumId="79" w15:restartNumberingAfterBreak="0">
    <w:nsid w:val="728522D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80" w15:restartNumberingAfterBreak="0">
    <w:nsid w:val="74860014"/>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81" w15:restartNumberingAfterBreak="0">
    <w:nsid w:val="78E124D4"/>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82" w15:restartNumberingAfterBreak="0">
    <w:nsid w:val="79730C2A"/>
    <w:multiLevelType w:val="multilevel"/>
    <w:tmpl w:val="195086E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9DD777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84" w15:restartNumberingAfterBreak="0">
    <w:nsid w:val="7DF44B4F"/>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85" w15:restartNumberingAfterBreak="0">
    <w:nsid w:val="7E2055CD"/>
    <w:multiLevelType w:val="multilevel"/>
    <w:tmpl w:val="83D297EC"/>
    <w:lvl w:ilvl="0">
      <w:start w:val="1"/>
      <w:numFmt w:val="decimal"/>
      <w:lvlText w:val="%1)"/>
      <w:lvlJc w:val="left"/>
      <w:pPr>
        <w:tabs>
          <w:tab w:val="num" w:pos="533"/>
        </w:tabs>
        <w:ind w:left="1066" w:hanging="533"/>
      </w:pPr>
      <w:rPr>
        <w:rFonts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86" w15:restartNumberingAfterBreak="0">
    <w:nsid w:val="7F110406"/>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87" w15:restartNumberingAfterBreak="0">
    <w:nsid w:val="7F3B3E8B"/>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88" w15:restartNumberingAfterBreak="0">
    <w:nsid w:val="7F7503AF"/>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num w:numId="1" w16cid:durableId="539317961">
    <w:abstractNumId w:val="23"/>
  </w:num>
  <w:num w:numId="2" w16cid:durableId="520900762">
    <w:abstractNumId w:val="67"/>
  </w:num>
  <w:num w:numId="3" w16cid:durableId="817916886">
    <w:abstractNumId w:val="45"/>
  </w:num>
  <w:num w:numId="4" w16cid:durableId="1332374549">
    <w:abstractNumId w:val="44"/>
  </w:num>
  <w:num w:numId="5" w16cid:durableId="25718837">
    <w:abstractNumId w:val="68"/>
  </w:num>
  <w:num w:numId="6" w16cid:durableId="573323255">
    <w:abstractNumId w:val="63"/>
  </w:num>
  <w:num w:numId="7" w16cid:durableId="1477525526">
    <w:abstractNumId w:val="61"/>
  </w:num>
  <w:num w:numId="8" w16cid:durableId="722827469">
    <w:abstractNumId w:val="35"/>
  </w:num>
  <w:num w:numId="9" w16cid:durableId="556626693">
    <w:abstractNumId w:val="49"/>
  </w:num>
  <w:num w:numId="10" w16cid:durableId="129982957">
    <w:abstractNumId w:val="5"/>
  </w:num>
  <w:num w:numId="11" w16cid:durableId="1527675815">
    <w:abstractNumId w:val="76"/>
  </w:num>
  <w:num w:numId="12" w16cid:durableId="1568611075">
    <w:abstractNumId w:val="52"/>
  </w:num>
  <w:num w:numId="13" w16cid:durableId="2105416643">
    <w:abstractNumId w:val="1"/>
  </w:num>
  <w:num w:numId="14" w16cid:durableId="281225840">
    <w:abstractNumId w:val="57"/>
  </w:num>
  <w:num w:numId="15" w16cid:durableId="1810593460">
    <w:abstractNumId w:val="69"/>
  </w:num>
  <w:num w:numId="16" w16cid:durableId="707224228">
    <w:abstractNumId w:val="87"/>
  </w:num>
  <w:num w:numId="17" w16cid:durableId="618997210">
    <w:abstractNumId w:val="64"/>
  </w:num>
  <w:num w:numId="18" w16cid:durableId="1931159407">
    <w:abstractNumId w:val="74"/>
  </w:num>
  <w:num w:numId="19" w16cid:durableId="50815309">
    <w:abstractNumId w:val="81"/>
  </w:num>
  <w:num w:numId="20" w16cid:durableId="1910337158">
    <w:abstractNumId w:val="51"/>
  </w:num>
  <w:num w:numId="21" w16cid:durableId="437145975">
    <w:abstractNumId w:val="86"/>
  </w:num>
  <w:num w:numId="22" w16cid:durableId="222572066">
    <w:abstractNumId w:val="3"/>
  </w:num>
  <w:num w:numId="23" w16cid:durableId="693117716">
    <w:abstractNumId w:val="24"/>
  </w:num>
  <w:num w:numId="24" w16cid:durableId="1006788588">
    <w:abstractNumId w:val="9"/>
  </w:num>
  <w:num w:numId="25" w16cid:durableId="2139489651">
    <w:abstractNumId w:val="22"/>
  </w:num>
  <w:num w:numId="26" w16cid:durableId="1008754386">
    <w:abstractNumId w:val="79"/>
  </w:num>
  <w:num w:numId="27" w16cid:durableId="1330325721">
    <w:abstractNumId w:val="48"/>
  </w:num>
  <w:num w:numId="28" w16cid:durableId="2091464493">
    <w:abstractNumId w:val="53"/>
  </w:num>
  <w:num w:numId="29" w16cid:durableId="804347309">
    <w:abstractNumId w:val="10"/>
  </w:num>
  <w:num w:numId="30" w16cid:durableId="1955332208">
    <w:abstractNumId w:val="55"/>
  </w:num>
  <w:num w:numId="31" w16cid:durableId="575213830">
    <w:abstractNumId w:val="29"/>
  </w:num>
  <w:num w:numId="32" w16cid:durableId="1316912541">
    <w:abstractNumId w:val="60"/>
  </w:num>
  <w:num w:numId="33" w16cid:durableId="1991322005">
    <w:abstractNumId w:val="19"/>
  </w:num>
  <w:num w:numId="34" w16cid:durableId="726683855">
    <w:abstractNumId w:val="26"/>
  </w:num>
  <w:num w:numId="35" w16cid:durableId="1831477921">
    <w:abstractNumId w:val="28"/>
  </w:num>
  <w:num w:numId="36" w16cid:durableId="604308278">
    <w:abstractNumId w:val="25"/>
  </w:num>
  <w:num w:numId="37" w16cid:durableId="2015766632">
    <w:abstractNumId w:val="17"/>
  </w:num>
  <w:num w:numId="38" w16cid:durableId="1810702684">
    <w:abstractNumId w:val="15"/>
  </w:num>
  <w:num w:numId="39" w16cid:durableId="80101331">
    <w:abstractNumId w:val="73"/>
  </w:num>
  <w:num w:numId="40" w16cid:durableId="1198393172">
    <w:abstractNumId w:val="34"/>
  </w:num>
  <w:num w:numId="41" w16cid:durableId="172306098">
    <w:abstractNumId w:val="32"/>
  </w:num>
  <w:num w:numId="42" w16cid:durableId="749471103">
    <w:abstractNumId w:val="46"/>
  </w:num>
  <w:num w:numId="43" w16cid:durableId="50885862">
    <w:abstractNumId w:val="37"/>
  </w:num>
  <w:num w:numId="44" w16cid:durableId="1692023464">
    <w:abstractNumId w:val="39"/>
  </w:num>
  <w:num w:numId="45" w16cid:durableId="1791318419">
    <w:abstractNumId w:val="0"/>
  </w:num>
  <w:num w:numId="46" w16cid:durableId="1751730873">
    <w:abstractNumId w:val="6"/>
  </w:num>
  <w:num w:numId="47" w16cid:durableId="2129155229">
    <w:abstractNumId w:val="42"/>
  </w:num>
  <w:num w:numId="48" w16cid:durableId="1741097228">
    <w:abstractNumId w:val="50"/>
  </w:num>
  <w:num w:numId="49" w16cid:durableId="1214271061">
    <w:abstractNumId w:val="83"/>
  </w:num>
  <w:num w:numId="50" w16cid:durableId="1571112654">
    <w:abstractNumId w:val="62"/>
  </w:num>
  <w:num w:numId="51" w16cid:durableId="313220675">
    <w:abstractNumId w:val="47"/>
  </w:num>
  <w:num w:numId="52" w16cid:durableId="727387377">
    <w:abstractNumId w:val="80"/>
  </w:num>
  <w:num w:numId="53" w16cid:durableId="1759671499">
    <w:abstractNumId w:val="84"/>
  </w:num>
  <w:num w:numId="54" w16cid:durableId="1003895645">
    <w:abstractNumId w:val="4"/>
  </w:num>
  <w:num w:numId="55" w16cid:durableId="151020784">
    <w:abstractNumId w:val="75"/>
  </w:num>
  <w:num w:numId="56" w16cid:durableId="866143128">
    <w:abstractNumId w:val="66"/>
  </w:num>
  <w:num w:numId="57" w16cid:durableId="276449623">
    <w:abstractNumId w:val="16"/>
  </w:num>
  <w:num w:numId="58" w16cid:durableId="1860269775">
    <w:abstractNumId w:val="31"/>
  </w:num>
  <w:num w:numId="59" w16cid:durableId="407966842">
    <w:abstractNumId w:val="21"/>
  </w:num>
  <w:num w:numId="60" w16cid:durableId="671644858">
    <w:abstractNumId w:val="65"/>
  </w:num>
  <w:num w:numId="61" w16cid:durableId="1059206844">
    <w:abstractNumId w:val="18"/>
  </w:num>
  <w:num w:numId="62" w16cid:durableId="106850104">
    <w:abstractNumId w:val="70"/>
  </w:num>
  <w:num w:numId="63" w16cid:durableId="2089107492">
    <w:abstractNumId w:val="54"/>
  </w:num>
  <w:num w:numId="64" w16cid:durableId="1745100344">
    <w:abstractNumId w:val="78"/>
  </w:num>
  <w:num w:numId="65" w16cid:durableId="69041676">
    <w:abstractNumId w:val="56"/>
  </w:num>
  <w:num w:numId="66" w16cid:durableId="1161429032">
    <w:abstractNumId w:val="41"/>
  </w:num>
  <w:num w:numId="67" w16cid:durableId="2025746687">
    <w:abstractNumId w:val="88"/>
  </w:num>
  <w:num w:numId="68" w16cid:durableId="1931504456">
    <w:abstractNumId w:val="8"/>
  </w:num>
  <w:num w:numId="69" w16cid:durableId="345326130">
    <w:abstractNumId w:val="13"/>
  </w:num>
  <w:num w:numId="70" w16cid:durableId="138883479">
    <w:abstractNumId w:val="58"/>
  </w:num>
  <w:num w:numId="71" w16cid:durableId="84109196">
    <w:abstractNumId w:val="12"/>
  </w:num>
  <w:num w:numId="72" w16cid:durableId="123238540">
    <w:abstractNumId w:val="59"/>
  </w:num>
  <w:num w:numId="73" w16cid:durableId="635843430">
    <w:abstractNumId w:val="11"/>
  </w:num>
  <w:num w:numId="74" w16cid:durableId="819882052">
    <w:abstractNumId w:val="38"/>
  </w:num>
  <w:num w:numId="75" w16cid:durableId="1023165514">
    <w:abstractNumId w:val="77"/>
  </w:num>
  <w:num w:numId="76" w16cid:durableId="1437552518">
    <w:abstractNumId w:val="2"/>
  </w:num>
  <w:num w:numId="77" w16cid:durableId="1082020148">
    <w:abstractNumId w:val="14"/>
  </w:num>
  <w:num w:numId="78" w16cid:durableId="2121751692">
    <w:abstractNumId w:val="27"/>
  </w:num>
  <w:num w:numId="79" w16cid:durableId="971911354">
    <w:abstractNumId w:val="7"/>
  </w:num>
  <w:num w:numId="80" w16cid:durableId="143014637">
    <w:abstractNumId w:val="43"/>
  </w:num>
  <w:num w:numId="81" w16cid:durableId="1095899935">
    <w:abstractNumId w:val="30"/>
  </w:num>
  <w:num w:numId="82" w16cid:durableId="936138188">
    <w:abstractNumId w:val="40"/>
  </w:num>
  <w:num w:numId="83" w16cid:durableId="984773713">
    <w:abstractNumId w:val="71"/>
  </w:num>
  <w:num w:numId="84" w16cid:durableId="13966654">
    <w:abstractNumId w:val="72"/>
  </w:num>
  <w:num w:numId="85" w16cid:durableId="732243623">
    <w:abstractNumId w:val="33"/>
  </w:num>
  <w:num w:numId="86" w16cid:durableId="1792892940">
    <w:abstractNumId w:val="20"/>
  </w:num>
  <w:num w:numId="87" w16cid:durableId="1742217913">
    <w:abstractNumId w:val="36"/>
  </w:num>
  <w:num w:numId="88" w16cid:durableId="1426263057">
    <w:abstractNumId w:val="82"/>
  </w:num>
  <w:num w:numId="89" w16cid:durableId="1644694259">
    <w:abstractNumId w:val="8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removeDateAndTime/>
  <w:proofState w:spelling="clean" w:grammar="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edit="readOnly" w:formatting="1" w:enforcement="1" w:cryptProviderType="rsaAES" w:cryptAlgorithmClass="hash" w:cryptAlgorithmType="typeAny" w:cryptAlgorithmSid="14" w:cryptSpinCount="100000" w:hash="K+5l0L9HvM9OWOjQP99JQt4pQvaLXAdnn1GMSlYgJEz4GsZz5KJIkIM8dkQ8el4oxuYZhGZRWNN1OAwPpK3zXQ==" w:salt="iLBgRbtyNAFajc+Rsw0Meg=="/>
  <w:styleLockTheme/>
  <w:styleLockQFSet/>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37"/>
    <w:rsid w:val="000002EE"/>
    <w:rsid w:val="000008BE"/>
    <w:rsid w:val="00000C2B"/>
    <w:rsid w:val="00001140"/>
    <w:rsid w:val="00001C45"/>
    <w:rsid w:val="00002325"/>
    <w:rsid w:val="000023F9"/>
    <w:rsid w:val="000025C5"/>
    <w:rsid w:val="000031B5"/>
    <w:rsid w:val="00003824"/>
    <w:rsid w:val="00003902"/>
    <w:rsid w:val="000039AA"/>
    <w:rsid w:val="00004A4F"/>
    <w:rsid w:val="00005CE9"/>
    <w:rsid w:val="00005E53"/>
    <w:rsid w:val="00006038"/>
    <w:rsid w:val="0000674E"/>
    <w:rsid w:val="00006B86"/>
    <w:rsid w:val="00007297"/>
    <w:rsid w:val="0000769C"/>
    <w:rsid w:val="00007AF9"/>
    <w:rsid w:val="00007BF8"/>
    <w:rsid w:val="00007D8D"/>
    <w:rsid w:val="000105BF"/>
    <w:rsid w:val="0001085B"/>
    <w:rsid w:val="0001104D"/>
    <w:rsid w:val="0001165A"/>
    <w:rsid w:val="00011DE1"/>
    <w:rsid w:val="00012258"/>
    <w:rsid w:val="00012410"/>
    <w:rsid w:val="00012F8C"/>
    <w:rsid w:val="00014422"/>
    <w:rsid w:val="000148C1"/>
    <w:rsid w:val="00015874"/>
    <w:rsid w:val="00016244"/>
    <w:rsid w:val="0001636B"/>
    <w:rsid w:val="000173C0"/>
    <w:rsid w:val="00017DA7"/>
    <w:rsid w:val="00020704"/>
    <w:rsid w:val="00020831"/>
    <w:rsid w:val="00020BEB"/>
    <w:rsid w:val="00020FB8"/>
    <w:rsid w:val="0002228D"/>
    <w:rsid w:val="00022C6E"/>
    <w:rsid w:val="000233D8"/>
    <w:rsid w:val="000249F2"/>
    <w:rsid w:val="0002512F"/>
    <w:rsid w:val="000252AE"/>
    <w:rsid w:val="00025D3E"/>
    <w:rsid w:val="000260C5"/>
    <w:rsid w:val="00026167"/>
    <w:rsid w:val="00027361"/>
    <w:rsid w:val="0002762A"/>
    <w:rsid w:val="0002792B"/>
    <w:rsid w:val="00027E93"/>
    <w:rsid w:val="00030016"/>
    <w:rsid w:val="00031203"/>
    <w:rsid w:val="00031F3F"/>
    <w:rsid w:val="000324B9"/>
    <w:rsid w:val="0003258C"/>
    <w:rsid w:val="00032710"/>
    <w:rsid w:val="00032A6C"/>
    <w:rsid w:val="000334DA"/>
    <w:rsid w:val="00033745"/>
    <w:rsid w:val="000339B8"/>
    <w:rsid w:val="00033ABF"/>
    <w:rsid w:val="00033CBD"/>
    <w:rsid w:val="00034282"/>
    <w:rsid w:val="00034BE3"/>
    <w:rsid w:val="00034F5F"/>
    <w:rsid w:val="00035210"/>
    <w:rsid w:val="00035458"/>
    <w:rsid w:val="00035C55"/>
    <w:rsid w:val="00036059"/>
    <w:rsid w:val="00036095"/>
    <w:rsid w:val="00036940"/>
    <w:rsid w:val="00036D56"/>
    <w:rsid w:val="00037A0D"/>
    <w:rsid w:val="000402F2"/>
    <w:rsid w:val="0004038F"/>
    <w:rsid w:val="00041280"/>
    <w:rsid w:val="000415DB"/>
    <w:rsid w:val="000417BD"/>
    <w:rsid w:val="00041B1E"/>
    <w:rsid w:val="00042293"/>
    <w:rsid w:val="000423A3"/>
    <w:rsid w:val="0004251C"/>
    <w:rsid w:val="00042967"/>
    <w:rsid w:val="00042BB4"/>
    <w:rsid w:val="00042CB7"/>
    <w:rsid w:val="00042EEE"/>
    <w:rsid w:val="00042FA8"/>
    <w:rsid w:val="00043209"/>
    <w:rsid w:val="00043A7B"/>
    <w:rsid w:val="00043B01"/>
    <w:rsid w:val="00043DCD"/>
    <w:rsid w:val="00044186"/>
    <w:rsid w:val="000443DD"/>
    <w:rsid w:val="00044C6A"/>
    <w:rsid w:val="00044F58"/>
    <w:rsid w:val="00044FDF"/>
    <w:rsid w:val="0004500C"/>
    <w:rsid w:val="00045BD2"/>
    <w:rsid w:val="00045D87"/>
    <w:rsid w:val="00047105"/>
    <w:rsid w:val="000479BC"/>
    <w:rsid w:val="000479EA"/>
    <w:rsid w:val="00050AB5"/>
    <w:rsid w:val="00050F18"/>
    <w:rsid w:val="00050F69"/>
    <w:rsid w:val="0005102A"/>
    <w:rsid w:val="00051101"/>
    <w:rsid w:val="00051AF2"/>
    <w:rsid w:val="00051D9C"/>
    <w:rsid w:val="00051DD6"/>
    <w:rsid w:val="000521AA"/>
    <w:rsid w:val="00052402"/>
    <w:rsid w:val="0005242D"/>
    <w:rsid w:val="00052915"/>
    <w:rsid w:val="00053B0A"/>
    <w:rsid w:val="00053D4A"/>
    <w:rsid w:val="000540DB"/>
    <w:rsid w:val="000548C7"/>
    <w:rsid w:val="000560DE"/>
    <w:rsid w:val="0005619C"/>
    <w:rsid w:val="00056F87"/>
    <w:rsid w:val="000573AA"/>
    <w:rsid w:val="000573CA"/>
    <w:rsid w:val="00057554"/>
    <w:rsid w:val="00057977"/>
    <w:rsid w:val="0006010A"/>
    <w:rsid w:val="0006024C"/>
    <w:rsid w:val="00061070"/>
    <w:rsid w:val="0006163F"/>
    <w:rsid w:val="00061DED"/>
    <w:rsid w:val="00062785"/>
    <w:rsid w:val="00062F7F"/>
    <w:rsid w:val="0006327B"/>
    <w:rsid w:val="0006344F"/>
    <w:rsid w:val="00063792"/>
    <w:rsid w:val="00063802"/>
    <w:rsid w:val="0006420D"/>
    <w:rsid w:val="0006469A"/>
    <w:rsid w:val="000647A1"/>
    <w:rsid w:val="0006484F"/>
    <w:rsid w:val="0006511B"/>
    <w:rsid w:val="0006514F"/>
    <w:rsid w:val="0006551E"/>
    <w:rsid w:val="00065644"/>
    <w:rsid w:val="0006576A"/>
    <w:rsid w:val="00065836"/>
    <w:rsid w:val="0006655D"/>
    <w:rsid w:val="00066645"/>
    <w:rsid w:val="000666B8"/>
    <w:rsid w:val="00066857"/>
    <w:rsid w:val="000669B7"/>
    <w:rsid w:val="000673CE"/>
    <w:rsid w:val="00067406"/>
    <w:rsid w:val="000676EC"/>
    <w:rsid w:val="00067777"/>
    <w:rsid w:val="00067E85"/>
    <w:rsid w:val="000701DE"/>
    <w:rsid w:val="00070DCB"/>
    <w:rsid w:val="000718AB"/>
    <w:rsid w:val="00071F1E"/>
    <w:rsid w:val="000728C4"/>
    <w:rsid w:val="00072FD6"/>
    <w:rsid w:val="000733CF"/>
    <w:rsid w:val="000735D3"/>
    <w:rsid w:val="000738E7"/>
    <w:rsid w:val="00074492"/>
    <w:rsid w:val="00074710"/>
    <w:rsid w:val="00074977"/>
    <w:rsid w:val="000755CB"/>
    <w:rsid w:val="00075710"/>
    <w:rsid w:val="000759FC"/>
    <w:rsid w:val="000764DC"/>
    <w:rsid w:val="00076C73"/>
    <w:rsid w:val="00077367"/>
    <w:rsid w:val="000803FA"/>
    <w:rsid w:val="000805C6"/>
    <w:rsid w:val="00081378"/>
    <w:rsid w:val="00081BB8"/>
    <w:rsid w:val="00082618"/>
    <w:rsid w:val="00082A78"/>
    <w:rsid w:val="00083439"/>
    <w:rsid w:val="0008379C"/>
    <w:rsid w:val="000838DA"/>
    <w:rsid w:val="00084200"/>
    <w:rsid w:val="000847C3"/>
    <w:rsid w:val="00084F5A"/>
    <w:rsid w:val="0008566F"/>
    <w:rsid w:val="000856CC"/>
    <w:rsid w:val="00085ECC"/>
    <w:rsid w:val="00086085"/>
    <w:rsid w:val="0008618F"/>
    <w:rsid w:val="0008621D"/>
    <w:rsid w:val="0008627E"/>
    <w:rsid w:val="00086315"/>
    <w:rsid w:val="000864CC"/>
    <w:rsid w:val="000869D3"/>
    <w:rsid w:val="00086D99"/>
    <w:rsid w:val="000877E0"/>
    <w:rsid w:val="00087A4E"/>
    <w:rsid w:val="0009000E"/>
    <w:rsid w:val="00090207"/>
    <w:rsid w:val="000905A0"/>
    <w:rsid w:val="00090E23"/>
    <w:rsid w:val="00091467"/>
    <w:rsid w:val="0009190B"/>
    <w:rsid w:val="00091D57"/>
    <w:rsid w:val="00092C69"/>
    <w:rsid w:val="00093CBD"/>
    <w:rsid w:val="00094528"/>
    <w:rsid w:val="00094771"/>
    <w:rsid w:val="000948E7"/>
    <w:rsid w:val="00095383"/>
    <w:rsid w:val="0009540E"/>
    <w:rsid w:val="000959D5"/>
    <w:rsid w:val="00096375"/>
    <w:rsid w:val="00096818"/>
    <w:rsid w:val="00096A3A"/>
    <w:rsid w:val="00096ACB"/>
    <w:rsid w:val="00096ED4"/>
    <w:rsid w:val="00097105"/>
    <w:rsid w:val="00097F1A"/>
    <w:rsid w:val="000A0276"/>
    <w:rsid w:val="000A0DE6"/>
    <w:rsid w:val="000A1338"/>
    <w:rsid w:val="000A171E"/>
    <w:rsid w:val="000A1BA9"/>
    <w:rsid w:val="000A1C64"/>
    <w:rsid w:val="000A23FA"/>
    <w:rsid w:val="000A2A5D"/>
    <w:rsid w:val="000A2B60"/>
    <w:rsid w:val="000A2BD4"/>
    <w:rsid w:val="000A2E9E"/>
    <w:rsid w:val="000A2F40"/>
    <w:rsid w:val="000A302D"/>
    <w:rsid w:val="000A337D"/>
    <w:rsid w:val="000A3ED7"/>
    <w:rsid w:val="000A41FA"/>
    <w:rsid w:val="000A42A3"/>
    <w:rsid w:val="000A43E4"/>
    <w:rsid w:val="000A444E"/>
    <w:rsid w:val="000A4A24"/>
    <w:rsid w:val="000A5137"/>
    <w:rsid w:val="000A5BAC"/>
    <w:rsid w:val="000A5FFA"/>
    <w:rsid w:val="000A61B3"/>
    <w:rsid w:val="000A63D4"/>
    <w:rsid w:val="000A700E"/>
    <w:rsid w:val="000A72E6"/>
    <w:rsid w:val="000A757F"/>
    <w:rsid w:val="000A75FA"/>
    <w:rsid w:val="000A7695"/>
    <w:rsid w:val="000A7ABB"/>
    <w:rsid w:val="000B01D2"/>
    <w:rsid w:val="000B0326"/>
    <w:rsid w:val="000B0896"/>
    <w:rsid w:val="000B093A"/>
    <w:rsid w:val="000B0C7E"/>
    <w:rsid w:val="000B0EC1"/>
    <w:rsid w:val="000B0F3E"/>
    <w:rsid w:val="000B1118"/>
    <w:rsid w:val="000B13BD"/>
    <w:rsid w:val="000B1840"/>
    <w:rsid w:val="000B1A79"/>
    <w:rsid w:val="000B1B09"/>
    <w:rsid w:val="000B1D1B"/>
    <w:rsid w:val="000B1DC2"/>
    <w:rsid w:val="000B1F58"/>
    <w:rsid w:val="000B2035"/>
    <w:rsid w:val="000B214D"/>
    <w:rsid w:val="000B2330"/>
    <w:rsid w:val="000B2B22"/>
    <w:rsid w:val="000B2B59"/>
    <w:rsid w:val="000B2CEE"/>
    <w:rsid w:val="000B35F7"/>
    <w:rsid w:val="000B3C6F"/>
    <w:rsid w:val="000B5298"/>
    <w:rsid w:val="000B61E3"/>
    <w:rsid w:val="000B62DC"/>
    <w:rsid w:val="000B632F"/>
    <w:rsid w:val="000B6BDD"/>
    <w:rsid w:val="000B6FEE"/>
    <w:rsid w:val="000B7106"/>
    <w:rsid w:val="000B750A"/>
    <w:rsid w:val="000C0388"/>
    <w:rsid w:val="000C0484"/>
    <w:rsid w:val="000C0626"/>
    <w:rsid w:val="000C0898"/>
    <w:rsid w:val="000C0E2B"/>
    <w:rsid w:val="000C0E4B"/>
    <w:rsid w:val="000C0F8D"/>
    <w:rsid w:val="000C124F"/>
    <w:rsid w:val="000C185B"/>
    <w:rsid w:val="000C1CBF"/>
    <w:rsid w:val="000C266A"/>
    <w:rsid w:val="000C2DF1"/>
    <w:rsid w:val="000C3003"/>
    <w:rsid w:val="000C311D"/>
    <w:rsid w:val="000C3137"/>
    <w:rsid w:val="000C3E18"/>
    <w:rsid w:val="000C41C7"/>
    <w:rsid w:val="000C4A16"/>
    <w:rsid w:val="000C4A53"/>
    <w:rsid w:val="000C5741"/>
    <w:rsid w:val="000C5878"/>
    <w:rsid w:val="000C6EF6"/>
    <w:rsid w:val="000C7746"/>
    <w:rsid w:val="000C776D"/>
    <w:rsid w:val="000C7B32"/>
    <w:rsid w:val="000C7C60"/>
    <w:rsid w:val="000C7D18"/>
    <w:rsid w:val="000C7F17"/>
    <w:rsid w:val="000D0230"/>
    <w:rsid w:val="000D0455"/>
    <w:rsid w:val="000D0472"/>
    <w:rsid w:val="000D057A"/>
    <w:rsid w:val="000D0830"/>
    <w:rsid w:val="000D085E"/>
    <w:rsid w:val="000D13D4"/>
    <w:rsid w:val="000D1A39"/>
    <w:rsid w:val="000D1B0A"/>
    <w:rsid w:val="000D1E43"/>
    <w:rsid w:val="000D2E74"/>
    <w:rsid w:val="000D3A79"/>
    <w:rsid w:val="000D3CE5"/>
    <w:rsid w:val="000D427E"/>
    <w:rsid w:val="000D456B"/>
    <w:rsid w:val="000D4B10"/>
    <w:rsid w:val="000D4CF0"/>
    <w:rsid w:val="000D4D92"/>
    <w:rsid w:val="000D50A3"/>
    <w:rsid w:val="000D550D"/>
    <w:rsid w:val="000D55DF"/>
    <w:rsid w:val="000D58FA"/>
    <w:rsid w:val="000D59A7"/>
    <w:rsid w:val="000D701D"/>
    <w:rsid w:val="000D778F"/>
    <w:rsid w:val="000D79E8"/>
    <w:rsid w:val="000D7E63"/>
    <w:rsid w:val="000E0AD8"/>
    <w:rsid w:val="000E0D28"/>
    <w:rsid w:val="000E0E4E"/>
    <w:rsid w:val="000E1956"/>
    <w:rsid w:val="000E1984"/>
    <w:rsid w:val="000E1CD4"/>
    <w:rsid w:val="000E2AAC"/>
    <w:rsid w:val="000E313A"/>
    <w:rsid w:val="000E34C4"/>
    <w:rsid w:val="000E3981"/>
    <w:rsid w:val="000E423F"/>
    <w:rsid w:val="000E4A16"/>
    <w:rsid w:val="000E4D71"/>
    <w:rsid w:val="000E5C0F"/>
    <w:rsid w:val="000E5CAE"/>
    <w:rsid w:val="000E648D"/>
    <w:rsid w:val="000E6F12"/>
    <w:rsid w:val="000E7280"/>
    <w:rsid w:val="000E74AB"/>
    <w:rsid w:val="000E76F5"/>
    <w:rsid w:val="000E7763"/>
    <w:rsid w:val="000E7AC8"/>
    <w:rsid w:val="000F03A2"/>
    <w:rsid w:val="000F05B8"/>
    <w:rsid w:val="000F0A4A"/>
    <w:rsid w:val="000F0D39"/>
    <w:rsid w:val="000F11C8"/>
    <w:rsid w:val="000F12FF"/>
    <w:rsid w:val="000F151C"/>
    <w:rsid w:val="000F248E"/>
    <w:rsid w:val="000F28BC"/>
    <w:rsid w:val="000F2988"/>
    <w:rsid w:val="000F2C3A"/>
    <w:rsid w:val="000F3221"/>
    <w:rsid w:val="000F322B"/>
    <w:rsid w:val="000F3D84"/>
    <w:rsid w:val="000F4572"/>
    <w:rsid w:val="000F45B9"/>
    <w:rsid w:val="000F5C45"/>
    <w:rsid w:val="000F6529"/>
    <w:rsid w:val="000F7A24"/>
    <w:rsid w:val="000F7CFE"/>
    <w:rsid w:val="000F7D0E"/>
    <w:rsid w:val="00100269"/>
    <w:rsid w:val="001007A5"/>
    <w:rsid w:val="0010095D"/>
    <w:rsid w:val="001009C0"/>
    <w:rsid w:val="001014EE"/>
    <w:rsid w:val="00101796"/>
    <w:rsid w:val="00101B9D"/>
    <w:rsid w:val="00101FA1"/>
    <w:rsid w:val="00102109"/>
    <w:rsid w:val="00102381"/>
    <w:rsid w:val="001027BE"/>
    <w:rsid w:val="001027F0"/>
    <w:rsid w:val="00102905"/>
    <w:rsid w:val="001033DD"/>
    <w:rsid w:val="00103C2C"/>
    <w:rsid w:val="00103C44"/>
    <w:rsid w:val="001044D3"/>
    <w:rsid w:val="00104BCD"/>
    <w:rsid w:val="0010517D"/>
    <w:rsid w:val="001066EE"/>
    <w:rsid w:val="00106F60"/>
    <w:rsid w:val="0010718F"/>
    <w:rsid w:val="001071F2"/>
    <w:rsid w:val="00107224"/>
    <w:rsid w:val="001072E9"/>
    <w:rsid w:val="00107ABD"/>
    <w:rsid w:val="0011015D"/>
    <w:rsid w:val="0011038C"/>
    <w:rsid w:val="00110FFC"/>
    <w:rsid w:val="00111378"/>
    <w:rsid w:val="0011166E"/>
    <w:rsid w:val="00111E0E"/>
    <w:rsid w:val="001124BF"/>
    <w:rsid w:val="00113DCE"/>
    <w:rsid w:val="00114125"/>
    <w:rsid w:val="00115698"/>
    <w:rsid w:val="001158C4"/>
    <w:rsid w:val="001164B2"/>
    <w:rsid w:val="00116B4A"/>
    <w:rsid w:val="0011742E"/>
    <w:rsid w:val="001174E6"/>
    <w:rsid w:val="001176BA"/>
    <w:rsid w:val="00120391"/>
    <w:rsid w:val="001204B9"/>
    <w:rsid w:val="00120621"/>
    <w:rsid w:val="00121029"/>
    <w:rsid w:val="00121A48"/>
    <w:rsid w:val="00121C34"/>
    <w:rsid w:val="001229F4"/>
    <w:rsid w:val="00123799"/>
    <w:rsid w:val="00124861"/>
    <w:rsid w:val="00124FF9"/>
    <w:rsid w:val="00125E38"/>
    <w:rsid w:val="00125E8D"/>
    <w:rsid w:val="001264EB"/>
    <w:rsid w:val="00127540"/>
    <w:rsid w:val="00127C30"/>
    <w:rsid w:val="00130424"/>
    <w:rsid w:val="0013193C"/>
    <w:rsid w:val="001325C2"/>
    <w:rsid w:val="001326E4"/>
    <w:rsid w:val="0013295F"/>
    <w:rsid w:val="001329E9"/>
    <w:rsid w:val="00132A02"/>
    <w:rsid w:val="00132ED5"/>
    <w:rsid w:val="00133921"/>
    <w:rsid w:val="00134103"/>
    <w:rsid w:val="0013467B"/>
    <w:rsid w:val="00134D55"/>
    <w:rsid w:val="001351F8"/>
    <w:rsid w:val="001352A1"/>
    <w:rsid w:val="001354E7"/>
    <w:rsid w:val="00135E10"/>
    <w:rsid w:val="00135FB5"/>
    <w:rsid w:val="00136503"/>
    <w:rsid w:val="001370A8"/>
    <w:rsid w:val="00137250"/>
    <w:rsid w:val="001372D6"/>
    <w:rsid w:val="001379ED"/>
    <w:rsid w:val="00137E31"/>
    <w:rsid w:val="00140860"/>
    <w:rsid w:val="001408F5"/>
    <w:rsid w:val="00140A2A"/>
    <w:rsid w:val="00141AF9"/>
    <w:rsid w:val="00141EC7"/>
    <w:rsid w:val="001420D4"/>
    <w:rsid w:val="00142BB7"/>
    <w:rsid w:val="00142F12"/>
    <w:rsid w:val="00143690"/>
    <w:rsid w:val="001437B1"/>
    <w:rsid w:val="00143829"/>
    <w:rsid w:val="00143897"/>
    <w:rsid w:val="00143F9D"/>
    <w:rsid w:val="001441CF"/>
    <w:rsid w:val="00144E7F"/>
    <w:rsid w:val="0014550A"/>
    <w:rsid w:val="00145B56"/>
    <w:rsid w:val="00147322"/>
    <w:rsid w:val="00147634"/>
    <w:rsid w:val="001476BF"/>
    <w:rsid w:val="001476CA"/>
    <w:rsid w:val="00147702"/>
    <w:rsid w:val="001500BB"/>
    <w:rsid w:val="00150151"/>
    <w:rsid w:val="001509E0"/>
    <w:rsid w:val="00150A39"/>
    <w:rsid w:val="0015191B"/>
    <w:rsid w:val="00151932"/>
    <w:rsid w:val="00151BCF"/>
    <w:rsid w:val="00152B3A"/>
    <w:rsid w:val="00152C7F"/>
    <w:rsid w:val="00152DEA"/>
    <w:rsid w:val="00153062"/>
    <w:rsid w:val="0015321C"/>
    <w:rsid w:val="00154A1E"/>
    <w:rsid w:val="00154B4B"/>
    <w:rsid w:val="0015572F"/>
    <w:rsid w:val="00155DC2"/>
    <w:rsid w:val="001565EE"/>
    <w:rsid w:val="00156642"/>
    <w:rsid w:val="001569A9"/>
    <w:rsid w:val="00156C9F"/>
    <w:rsid w:val="001571FD"/>
    <w:rsid w:val="00157303"/>
    <w:rsid w:val="00157E63"/>
    <w:rsid w:val="001603E7"/>
    <w:rsid w:val="00160AAD"/>
    <w:rsid w:val="00160CB4"/>
    <w:rsid w:val="001612BB"/>
    <w:rsid w:val="001619A9"/>
    <w:rsid w:val="00161C1E"/>
    <w:rsid w:val="0016201C"/>
    <w:rsid w:val="00162141"/>
    <w:rsid w:val="00162476"/>
    <w:rsid w:val="00163A28"/>
    <w:rsid w:val="00163D21"/>
    <w:rsid w:val="00163F80"/>
    <w:rsid w:val="00164215"/>
    <w:rsid w:val="00164426"/>
    <w:rsid w:val="0016462E"/>
    <w:rsid w:val="00164634"/>
    <w:rsid w:val="001649E8"/>
    <w:rsid w:val="00164B60"/>
    <w:rsid w:val="00165101"/>
    <w:rsid w:val="00165F56"/>
    <w:rsid w:val="001663FB"/>
    <w:rsid w:val="001666E2"/>
    <w:rsid w:val="001668DD"/>
    <w:rsid w:val="001673CF"/>
    <w:rsid w:val="0016799A"/>
    <w:rsid w:val="00167F4E"/>
    <w:rsid w:val="00167F7D"/>
    <w:rsid w:val="0017004A"/>
    <w:rsid w:val="0017025D"/>
    <w:rsid w:val="00170371"/>
    <w:rsid w:val="00170800"/>
    <w:rsid w:val="00171061"/>
    <w:rsid w:val="00171504"/>
    <w:rsid w:val="00172177"/>
    <w:rsid w:val="00172289"/>
    <w:rsid w:val="001723F6"/>
    <w:rsid w:val="0017293A"/>
    <w:rsid w:val="00172986"/>
    <w:rsid w:val="00173774"/>
    <w:rsid w:val="00173799"/>
    <w:rsid w:val="00173831"/>
    <w:rsid w:val="001738CB"/>
    <w:rsid w:val="001746A8"/>
    <w:rsid w:val="00175CDA"/>
    <w:rsid w:val="00176697"/>
    <w:rsid w:val="0017717A"/>
    <w:rsid w:val="001801D7"/>
    <w:rsid w:val="00180734"/>
    <w:rsid w:val="00180AE0"/>
    <w:rsid w:val="00180C95"/>
    <w:rsid w:val="001815C2"/>
    <w:rsid w:val="00181972"/>
    <w:rsid w:val="00181BDC"/>
    <w:rsid w:val="0018212D"/>
    <w:rsid w:val="001828CE"/>
    <w:rsid w:val="00182AFD"/>
    <w:rsid w:val="00183548"/>
    <w:rsid w:val="001838C2"/>
    <w:rsid w:val="00183C10"/>
    <w:rsid w:val="00183D01"/>
    <w:rsid w:val="00183E4C"/>
    <w:rsid w:val="0018421E"/>
    <w:rsid w:val="00184FA6"/>
    <w:rsid w:val="0018597A"/>
    <w:rsid w:val="00185AFA"/>
    <w:rsid w:val="001863C3"/>
    <w:rsid w:val="0018697C"/>
    <w:rsid w:val="00186F84"/>
    <w:rsid w:val="00187633"/>
    <w:rsid w:val="0018765A"/>
    <w:rsid w:val="0018777A"/>
    <w:rsid w:val="00187C40"/>
    <w:rsid w:val="0019061B"/>
    <w:rsid w:val="001908FE"/>
    <w:rsid w:val="0019107D"/>
    <w:rsid w:val="0019157F"/>
    <w:rsid w:val="0019198A"/>
    <w:rsid w:val="00191AD0"/>
    <w:rsid w:val="0019233D"/>
    <w:rsid w:val="00192A79"/>
    <w:rsid w:val="00192AF5"/>
    <w:rsid w:val="00192BBE"/>
    <w:rsid w:val="0019347A"/>
    <w:rsid w:val="00193A26"/>
    <w:rsid w:val="0019467A"/>
    <w:rsid w:val="00194FD8"/>
    <w:rsid w:val="00195051"/>
    <w:rsid w:val="00195216"/>
    <w:rsid w:val="001952D2"/>
    <w:rsid w:val="00195336"/>
    <w:rsid w:val="00195D8E"/>
    <w:rsid w:val="00196146"/>
    <w:rsid w:val="00196477"/>
    <w:rsid w:val="001966F0"/>
    <w:rsid w:val="00196705"/>
    <w:rsid w:val="00196BE5"/>
    <w:rsid w:val="001973A4"/>
    <w:rsid w:val="001973FA"/>
    <w:rsid w:val="00197560"/>
    <w:rsid w:val="00197FBA"/>
    <w:rsid w:val="001A0A03"/>
    <w:rsid w:val="001A128F"/>
    <w:rsid w:val="001A15EA"/>
    <w:rsid w:val="001A1A5A"/>
    <w:rsid w:val="001A1D4E"/>
    <w:rsid w:val="001A2380"/>
    <w:rsid w:val="001A27A1"/>
    <w:rsid w:val="001A4407"/>
    <w:rsid w:val="001A44A9"/>
    <w:rsid w:val="001A51F4"/>
    <w:rsid w:val="001A57DE"/>
    <w:rsid w:val="001A5A38"/>
    <w:rsid w:val="001A5FC8"/>
    <w:rsid w:val="001A6FCC"/>
    <w:rsid w:val="001A7173"/>
    <w:rsid w:val="001A7E12"/>
    <w:rsid w:val="001B0396"/>
    <w:rsid w:val="001B060B"/>
    <w:rsid w:val="001B0E06"/>
    <w:rsid w:val="001B1D76"/>
    <w:rsid w:val="001B22BC"/>
    <w:rsid w:val="001B23FA"/>
    <w:rsid w:val="001B28AC"/>
    <w:rsid w:val="001B3682"/>
    <w:rsid w:val="001B39B6"/>
    <w:rsid w:val="001B43DF"/>
    <w:rsid w:val="001B4790"/>
    <w:rsid w:val="001B5E05"/>
    <w:rsid w:val="001B5E10"/>
    <w:rsid w:val="001B757B"/>
    <w:rsid w:val="001B75E5"/>
    <w:rsid w:val="001B7928"/>
    <w:rsid w:val="001B7A67"/>
    <w:rsid w:val="001B7B58"/>
    <w:rsid w:val="001C016E"/>
    <w:rsid w:val="001C09C3"/>
    <w:rsid w:val="001C0BF3"/>
    <w:rsid w:val="001C0F28"/>
    <w:rsid w:val="001C116A"/>
    <w:rsid w:val="001C1372"/>
    <w:rsid w:val="001C17A9"/>
    <w:rsid w:val="001C1BD0"/>
    <w:rsid w:val="001C1E26"/>
    <w:rsid w:val="001C1E71"/>
    <w:rsid w:val="001C2030"/>
    <w:rsid w:val="001C2816"/>
    <w:rsid w:val="001C28B0"/>
    <w:rsid w:val="001C28E0"/>
    <w:rsid w:val="001C2CA8"/>
    <w:rsid w:val="001C347B"/>
    <w:rsid w:val="001C3E3C"/>
    <w:rsid w:val="001C47B0"/>
    <w:rsid w:val="001C4884"/>
    <w:rsid w:val="001C51CA"/>
    <w:rsid w:val="001C53F9"/>
    <w:rsid w:val="001C5600"/>
    <w:rsid w:val="001C5756"/>
    <w:rsid w:val="001C59A7"/>
    <w:rsid w:val="001C5A53"/>
    <w:rsid w:val="001C5A7F"/>
    <w:rsid w:val="001C5DE4"/>
    <w:rsid w:val="001C5F03"/>
    <w:rsid w:val="001C603F"/>
    <w:rsid w:val="001C66F1"/>
    <w:rsid w:val="001C6940"/>
    <w:rsid w:val="001C6C41"/>
    <w:rsid w:val="001C708E"/>
    <w:rsid w:val="001C712D"/>
    <w:rsid w:val="001D0349"/>
    <w:rsid w:val="001D0D9D"/>
    <w:rsid w:val="001D1E04"/>
    <w:rsid w:val="001D27D0"/>
    <w:rsid w:val="001D2F0D"/>
    <w:rsid w:val="001D30D7"/>
    <w:rsid w:val="001D3695"/>
    <w:rsid w:val="001D37AC"/>
    <w:rsid w:val="001D3C64"/>
    <w:rsid w:val="001D47D6"/>
    <w:rsid w:val="001D4B8B"/>
    <w:rsid w:val="001D5280"/>
    <w:rsid w:val="001D569A"/>
    <w:rsid w:val="001D59BA"/>
    <w:rsid w:val="001D6057"/>
    <w:rsid w:val="001D6508"/>
    <w:rsid w:val="001D65BD"/>
    <w:rsid w:val="001D6BA8"/>
    <w:rsid w:val="001D7E69"/>
    <w:rsid w:val="001E02BE"/>
    <w:rsid w:val="001E030D"/>
    <w:rsid w:val="001E0343"/>
    <w:rsid w:val="001E07C2"/>
    <w:rsid w:val="001E0D96"/>
    <w:rsid w:val="001E1452"/>
    <w:rsid w:val="001E1524"/>
    <w:rsid w:val="001E1D2A"/>
    <w:rsid w:val="001E2E78"/>
    <w:rsid w:val="001E3BD4"/>
    <w:rsid w:val="001E4034"/>
    <w:rsid w:val="001E4258"/>
    <w:rsid w:val="001E4C90"/>
    <w:rsid w:val="001E4CB4"/>
    <w:rsid w:val="001E4FD4"/>
    <w:rsid w:val="001E529A"/>
    <w:rsid w:val="001E58DC"/>
    <w:rsid w:val="001E59BB"/>
    <w:rsid w:val="001E5FB0"/>
    <w:rsid w:val="001E61B5"/>
    <w:rsid w:val="001E61EA"/>
    <w:rsid w:val="001E6F05"/>
    <w:rsid w:val="001E70A7"/>
    <w:rsid w:val="001E7EFF"/>
    <w:rsid w:val="001F0568"/>
    <w:rsid w:val="001F0A8F"/>
    <w:rsid w:val="001F0E2D"/>
    <w:rsid w:val="001F1A91"/>
    <w:rsid w:val="001F1CAB"/>
    <w:rsid w:val="001F35AD"/>
    <w:rsid w:val="001F3E1B"/>
    <w:rsid w:val="001F57F4"/>
    <w:rsid w:val="001F610F"/>
    <w:rsid w:val="001F6987"/>
    <w:rsid w:val="001F71D1"/>
    <w:rsid w:val="001F71D9"/>
    <w:rsid w:val="001F7229"/>
    <w:rsid w:val="00200FC4"/>
    <w:rsid w:val="0020102F"/>
    <w:rsid w:val="00201257"/>
    <w:rsid w:val="00201797"/>
    <w:rsid w:val="00201FBD"/>
    <w:rsid w:val="002020BE"/>
    <w:rsid w:val="00202267"/>
    <w:rsid w:val="00202626"/>
    <w:rsid w:val="00202F80"/>
    <w:rsid w:val="00204CCD"/>
    <w:rsid w:val="002051D6"/>
    <w:rsid w:val="0020573F"/>
    <w:rsid w:val="00205DFA"/>
    <w:rsid w:val="002062D1"/>
    <w:rsid w:val="00206B12"/>
    <w:rsid w:val="00206F94"/>
    <w:rsid w:val="002072C4"/>
    <w:rsid w:val="00207A7D"/>
    <w:rsid w:val="00207AB0"/>
    <w:rsid w:val="00207B13"/>
    <w:rsid w:val="00207DBE"/>
    <w:rsid w:val="0021034E"/>
    <w:rsid w:val="0021060B"/>
    <w:rsid w:val="00210D05"/>
    <w:rsid w:val="00210FA4"/>
    <w:rsid w:val="00210FE5"/>
    <w:rsid w:val="002111F9"/>
    <w:rsid w:val="002115D3"/>
    <w:rsid w:val="0021181C"/>
    <w:rsid w:val="00211ACD"/>
    <w:rsid w:val="00211BB9"/>
    <w:rsid w:val="00213CB7"/>
    <w:rsid w:val="00214290"/>
    <w:rsid w:val="002143D7"/>
    <w:rsid w:val="00214689"/>
    <w:rsid w:val="002146C8"/>
    <w:rsid w:val="00214CC2"/>
    <w:rsid w:val="002153D3"/>
    <w:rsid w:val="002154BD"/>
    <w:rsid w:val="00215E9C"/>
    <w:rsid w:val="0021627B"/>
    <w:rsid w:val="0021631E"/>
    <w:rsid w:val="00216D20"/>
    <w:rsid w:val="00216D30"/>
    <w:rsid w:val="00216E73"/>
    <w:rsid w:val="00216F6A"/>
    <w:rsid w:val="00217386"/>
    <w:rsid w:val="002177FF"/>
    <w:rsid w:val="00217F86"/>
    <w:rsid w:val="002208D6"/>
    <w:rsid w:val="00220C7D"/>
    <w:rsid w:val="002213C1"/>
    <w:rsid w:val="00221872"/>
    <w:rsid w:val="002218FA"/>
    <w:rsid w:val="00221D7A"/>
    <w:rsid w:val="00221DC0"/>
    <w:rsid w:val="0022287B"/>
    <w:rsid w:val="00222C8E"/>
    <w:rsid w:val="00222D77"/>
    <w:rsid w:val="00222FC6"/>
    <w:rsid w:val="00223438"/>
    <w:rsid w:val="00223449"/>
    <w:rsid w:val="00223763"/>
    <w:rsid w:val="00223CC0"/>
    <w:rsid w:val="00223FDB"/>
    <w:rsid w:val="00224190"/>
    <w:rsid w:val="002242D6"/>
    <w:rsid w:val="00224659"/>
    <w:rsid w:val="00224891"/>
    <w:rsid w:val="00224984"/>
    <w:rsid w:val="00224DAC"/>
    <w:rsid w:val="00225356"/>
    <w:rsid w:val="00225B3E"/>
    <w:rsid w:val="00225E9C"/>
    <w:rsid w:val="00226274"/>
    <w:rsid w:val="002264CA"/>
    <w:rsid w:val="002265BB"/>
    <w:rsid w:val="002271E4"/>
    <w:rsid w:val="002278BE"/>
    <w:rsid w:val="002278F2"/>
    <w:rsid w:val="00230957"/>
    <w:rsid w:val="00230C71"/>
    <w:rsid w:val="00230E1F"/>
    <w:rsid w:val="002313DA"/>
    <w:rsid w:val="00231498"/>
    <w:rsid w:val="00232023"/>
    <w:rsid w:val="00232165"/>
    <w:rsid w:val="00232357"/>
    <w:rsid w:val="00232420"/>
    <w:rsid w:val="0023292F"/>
    <w:rsid w:val="00232966"/>
    <w:rsid w:val="00232BBB"/>
    <w:rsid w:val="00232D41"/>
    <w:rsid w:val="0023316E"/>
    <w:rsid w:val="00233323"/>
    <w:rsid w:val="002344AC"/>
    <w:rsid w:val="00234DCB"/>
    <w:rsid w:val="00235B18"/>
    <w:rsid w:val="00235D20"/>
    <w:rsid w:val="00236466"/>
    <w:rsid w:val="002366C0"/>
    <w:rsid w:val="002373BB"/>
    <w:rsid w:val="0023750A"/>
    <w:rsid w:val="0023772C"/>
    <w:rsid w:val="00237D63"/>
    <w:rsid w:val="00240979"/>
    <w:rsid w:val="00240F37"/>
    <w:rsid w:val="002412B8"/>
    <w:rsid w:val="00241528"/>
    <w:rsid w:val="00241746"/>
    <w:rsid w:val="00241862"/>
    <w:rsid w:val="00241975"/>
    <w:rsid w:val="00241A30"/>
    <w:rsid w:val="00241E70"/>
    <w:rsid w:val="002426B3"/>
    <w:rsid w:val="002428EB"/>
    <w:rsid w:val="002431B7"/>
    <w:rsid w:val="0024367E"/>
    <w:rsid w:val="00244A5B"/>
    <w:rsid w:val="00245BF2"/>
    <w:rsid w:val="00245E88"/>
    <w:rsid w:val="0024615E"/>
    <w:rsid w:val="00246789"/>
    <w:rsid w:val="0024698C"/>
    <w:rsid w:val="002473E0"/>
    <w:rsid w:val="002476A2"/>
    <w:rsid w:val="00247741"/>
    <w:rsid w:val="002478AD"/>
    <w:rsid w:val="00247C6F"/>
    <w:rsid w:val="002502D0"/>
    <w:rsid w:val="00250B20"/>
    <w:rsid w:val="00250B9D"/>
    <w:rsid w:val="00250C90"/>
    <w:rsid w:val="00250E81"/>
    <w:rsid w:val="00250FA2"/>
    <w:rsid w:val="0025168F"/>
    <w:rsid w:val="00252C11"/>
    <w:rsid w:val="002531EE"/>
    <w:rsid w:val="00253473"/>
    <w:rsid w:val="00254229"/>
    <w:rsid w:val="0025478E"/>
    <w:rsid w:val="00254C99"/>
    <w:rsid w:val="00254EBC"/>
    <w:rsid w:val="00255319"/>
    <w:rsid w:val="00256010"/>
    <w:rsid w:val="00256A80"/>
    <w:rsid w:val="00257DF4"/>
    <w:rsid w:val="00257DF5"/>
    <w:rsid w:val="002601D6"/>
    <w:rsid w:val="00260318"/>
    <w:rsid w:val="002607FB"/>
    <w:rsid w:val="002610F2"/>
    <w:rsid w:val="0026152D"/>
    <w:rsid w:val="002619A2"/>
    <w:rsid w:val="00261A67"/>
    <w:rsid w:val="00261F9A"/>
    <w:rsid w:val="00262044"/>
    <w:rsid w:val="00262349"/>
    <w:rsid w:val="00262428"/>
    <w:rsid w:val="00262511"/>
    <w:rsid w:val="00262E5F"/>
    <w:rsid w:val="002634AF"/>
    <w:rsid w:val="00263AB3"/>
    <w:rsid w:val="00263DAC"/>
    <w:rsid w:val="00264542"/>
    <w:rsid w:val="00264638"/>
    <w:rsid w:val="002646BE"/>
    <w:rsid w:val="00264CF0"/>
    <w:rsid w:val="0026566F"/>
    <w:rsid w:val="00265C43"/>
    <w:rsid w:val="002660B6"/>
    <w:rsid w:val="0026641D"/>
    <w:rsid w:val="0026667B"/>
    <w:rsid w:val="00266B60"/>
    <w:rsid w:val="00267357"/>
    <w:rsid w:val="00267A7D"/>
    <w:rsid w:val="002700AB"/>
    <w:rsid w:val="00270144"/>
    <w:rsid w:val="00270945"/>
    <w:rsid w:val="00270CAE"/>
    <w:rsid w:val="00270FED"/>
    <w:rsid w:val="002718FC"/>
    <w:rsid w:val="002720DA"/>
    <w:rsid w:val="00272293"/>
    <w:rsid w:val="00272EF7"/>
    <w:rsid w:val="00272F30"/>
    <w:rsid w:val="0027359E"/>
    <w:rsid w:val="00273805"/>
    <w:rsid w:val="00273A8B"/>
    <w:rsid w:val="00273C7E"/>
    <w:rsid w:val="00273D14"/>
    <w:rsid w:val="00274016"/>
    <w:rsid w:val="0027455E"/>
    <w:rsid w:val="00274999"/>
    <w:rsid w:val="00274CAC"/>
    <w:rsid w:val="0027578D"/>
    <w:rsid w:val="00276545"/>
    <w:rsid w:val="002765FF"/>
    <w:rsid w:val="00276CA4"/>
    <w:rsid w:val="00277E36"/>
    <w:rsid w:val="00280A42"/>
    <w:rsid w:val="00280CA7"/>
    <w:rsid w:val="00280D64"/>
    <w:rsid w:val="002811E7"/>
    <w:rsid w:val="00281647"/>
    <w:rsid w:val="0028166B"/>
    <w:rsid w:val="002820F7"/>
    <w:rsid w:val="00282255"/>
    <w:rsid w:val="00282BD0"/>
    <w:rsid w:val="00283261"/>
    <w:rsid w:val="00283900"/>
    <w:rsid w:val="00283E55"/>
    <w:rsid w:val="00283FE5"/>
    <w:rsid w:val="00284038"/>
    <w:rsid w:val="0028407F"/>
    <w:rsid w:val="00284AFF"/>
    <w:rsid w:val="00284E53"/>
    <w:rsid w:val="0028538E"/>
    <w:rsid w:val="002853F8"/>
    <w:rsid w:val="002857D1"/>
    <w:rsid w:val="00285A1A"/>
    <w:rsid w:val="00285E89"/>
    <w:rsid w:val="00286478"/>
    <w:rsid w:val="002864FB"/>
    <w:rsid w:val="00286D93"/>
    <w:rsid w:val="0028740A"/>
    <w:rsid w:val="00287955"/>
    <w:rsid w:val="002879D4"/>
    <w:rsid w:val="00287DD1"/>
    <w:rsid w:val="002900F6"/>
    <w:rsid w:val="00290149"/>
    <w:rsid w:val="00290494"/>
    <w:rsid w:val="002904AF"/>
    <w:rsid w:val="002907EE"/>
    <w:rsid w:val="00291423"/>
    <w:rsid w:val="00291965"/>
    <w:rsid w:val="00291E08"/>
    <w:rsid w:val="002923A3"/>
    <w:rsid w:val="00293A2B"/>
    <w:rsid w:val="0029434E"/>
    <w:rsid w:val="00294548"/>
    <w:rsid w:val="00294D27"/>
    <w:rsid w:val="002951F9"/>
    <w:rsid w:val="002953B4"/>
    <w:rsid w:val="002958E5"/>
    <w:rsid w:val="00296241"/>
    <w:rsid w:val="0029626D"/>
    <w:rsid w:val="0029631E"/>
    <w:rsid w:val="00296592"/>
    <w:rsid w:val="00296C54"/>
    <w:rsid w:val="0029763A"/>
    <w:rsid w:val="00297694"/>
    <w:rsid w:val="00297D57"/>
    <w:rsid w:val="002A068B"/>
    <w:rsid w:val="002A0C89"/>
    <w:rsid w:val="002A0CC4"/>
    <w:rsid w:val="002A1952"/>
    <w:rsid w:val="002A1E67"/>
    <w:rsid w:val="002A254E"/>
    <w:rsid w:val="002A2B69"/>
    <w:rsid w:val="002A30AA"/>
    <w:rsid w:val="002A3BC8"/>
    <w:rsid w:val="002A3C22"/>
    <w:rsid w:val="002A3D77"/>
    <w:rsid w:val="002A40D7"/>
    <w:rsid w:val="002A4636"/>
    <w:rsid w:val="002A551F"/>
    <w:rsid w:val="002A59B9"/>
    <w:rsid w:val="002A641E"/>
    <w:rsid w:val="002A6C61"/>
    <w:rsid w:val="002B0BA3"/>
    <w:rsid w:val="002B1A02"/>
    <w:rsid w:val="002B251C"/>
    <w:rsid w:val="002B3C08"/>
    <w:rsid w:val="002B404F"/>
    <w:rsid w:val="002B4062"/>
    <w:rsid w:val="002B4526"/>
    <w:rsid w:val="002B45C2"/>
    <w:rsid w:val="002B4D37"/>
    <w:rsid w:val="002B50C3"/>
    <w:rsid w:val="002B51E1"/>
    <w:rsid w:val="002B5334"/>
    <w:rsid w:val="002B6C3E"/>
    <w:rsid w:val="002B7986"/>
    <w:rsid w:val="002B79D2"/>
    <w:rsid w:val="002B7E38"/>
    <w:rsid w:val="002C03BB"/>
    <w:rsid w:val="002C0864"/>
    <w:rsid w:val="002C190E"/>
    <w:rsid w:val="002C1EC5"/>
    <w:rsid w:val="002C1FA5"/>
    <w:rsid w:val="002C26DD"/>
    <w:rsid w:val="002C2BC6"/>
    <w:rsid w:val="002C2EB6"/>
    <w:rsid w:val="002C3412"/>
    <w:rsid w:val="002C3B34"/>
    <w:rsid w:val="002C4535"/>
    <w:rsid w:val="002C4AB2"/>
    <w:rsid w:val="002C6868"/>
    <w:rsid w:val="002C68C0"/>
    <w:rsid w:val="002C694C"/>
    <w:rsid w:val="002C74FE"/>
    <w:rsid w:val="002C760E"/>
    <w:rsid w:val="002C7D6F"/>
    <w:rsid w:val="002D0037"/>
    <w:rsid w:val="002D00F3"/>
    <w:rsid w:val="002D0B3D"/>
    <w:rsid w:val="002D0BA4"/>
    <w:rsid w:val="002D0BD6"/>
    <w:rsid w:val="002D1570"/>
    <w:rsid w:val="002D16BB"/>
    <w:rsid w:val="002D1773"/>
    <w:rsid w:val="002D1C06"/>
    <w:rsid w:val="002D1DC5"/>
    <w:rsid w:val="002D2070"/>
    <w:rsid w:val="002D2518"/>
    <w:rsid w:val="002D284A"/>
    <w:rsid w:val="002D3085"/>
    <w:rsid w:val="002D31A0"/>
    <w:rsid w:val="002D322D"/>
    <w:rsid w:val="002D323C"/>
    <w:rsid w:val="002D32D7"/>
    <w:rsid w:val="002D33E5"/>
    <w:rsid w:val="002D35F1"/>
    <w:rsid w:val="002D38C0"/>
    <w:rsid w:val="002D3E2F"/>
    <w:rsid w:val="002D46FC"/>
    <w:rsid w:val="002D4B97"/>
    <w:rsid w:val="002D541D"/>
    <w:rsid w:val="002D549F"/>
    <w:rsid w:val="002D5D7F"/>
    <w:rsid w:val="002D61D0"/>
    <w:rsid w:val="002D62AA"/>
    <w:rsid w:val="002D6596"/>
    <w:rsid w:val="002D71BC"/>
    <w:rsid w:val="002D7267"/>
    <w:rsid w:val="002D7832"/>
    <w:rsid w:val="002D7F2D"/>
    <w:rsid w:val="002E0277"/>
    <w:rsid w:val="002E0B3D"/>
    <w:rsid w:val="002E194B"/>
    <w:rsid w:val="002E194F"/>
    <w:rsid w:val="002E1AD4"/>
    <w:rsid w:val="002E1C24"/>
    <w:rsid w:val="002E2864"/>
    <w:rsid w:val="002E4530"/>
    <w:rsid w:val="002E4B85"/>
    <w:rsid w:val="002E4C7C"/>
    <w:rsid w:val="002E510F"/>
    <w:rsid w:val="002E5413"/>
    <w:rsid w:val="002E58FB"/>
    <w:rsid w:val="002E5E18"/>
    <w:rsid w:val="002E6751"/>
    <w:rsid w:val="002E6AD9"/>
    <w:rsid w:val="002E6B1B"/>
    <w:rsid w:val="002E78CA"/>
    <w:rsid w:val="002E7C5C"/>
    <w:rsid w:val="002F033F"/>
    <w:rsid w:val="002F04B8"/>
    <w:rsid w:val="002F0B92"/>
    <w:rsid w:val="002F0BBF"/>
    <w:rsid w:val="002F1ADE"/>
    <w:rsid w:val="002F2462"/>
    <w:rsid w:val="002F255B"/>
    <w:rsid w:val="002F3403"/>
    <w:rsid w:val="002F34E2"/>
    <w:rsid w:val="002F3A5F"/>
    <w:rsid w:val="002F43B8"/>
    <w:rsid w:val="002F4938"/>
    <w:rsid w:val="002F4B36"/>
    <w:rsid w:val="002F4F10"/>
    <w:rsid w:val="002F4F25"/>
    <w:rsid w:val="002F61A3"/>
    <w:rsid w:val="002F6319"/>
    <w:rsid w:val="002F657D"/>
    <w:rsid w:val="002F6CD0"/>
    <w:rsid w:val="002F7001"/>
    <w:rsid w:val="002F700C"/>
    <w:rsid w:val="002F77EB"/>
    <w:rsid w:val="002F7825"/>
    <w:rsid w:val="002F7A9B"/>
    <w:rsid w:val="002F7C0E"/>
    <w:rsid w:val="002F7CB7"/>
    <w:rsid w:val="003000BA"/>
    <w:rsid w:val="003001A6"/>
    <w:rsid w:val="003008BA"/>
    <w:rsid w:val="00300938"/>
    <w:rsid w:val="00300A5B"/>
    <w:rsid w:val="0030110F"/>
    <w:rsid w:val="003012A3"/>
    <w:rsid w:val="00302091"/>
    <w:rsid w:val="0030216C"/>
    <w:rsid w:val="00302BA1"/>
    <w:rsid w:val="0030304B"/>
    <w:rsid w:val="003036D3"/>
    <w:rsid w:val="00303A08"/>
    <w:rsid w:val="00303BC6"/>
    <w:rsid w:val="00303E40"/>
    <w:rsid w:val="00304508"/>
    <w:rsid w:val="003052AC"/>
    <w:rsid w:val="00305521"/>
    <w:rsid w:val="0030553D"/>
    <w:rsid w:val="003058B0"/>
    <w:rsid w:val="003058D7"/>
    <w:rsid w:val="00305BB6"/>
    <w:rsid w:val="00305EF5"/>
    <w:rsid w:val="003067EF"/>
    <w:rsid w:val="00306842"/>
    <w:rsid w:val="00307845"/>
    <w:rsid w:val="0031036E"/>
    <w:rsid w:val="0031063D"/>
    <w:rsid w:val="00310A1D"/>
    <w:rsid w:val="00310D36"/>
    <w:rsid w:val="00310DEC"/>
    <w:rsid w:val="003118FC"/>
    <w:rsid w:val="00311A1A"/>
    <w:rsid w:val="00311C54"/>
    <w:rsid w:val="00311EB6"/>
    <w:rsid w:val="00311F1E"/>
    <w:rsid w:val="003124DE"/>
    <w:rsid w:val="0031270A"/>
    <w:rsid w:val="00312DA6"/>
    <w:rsid w:val="0031345D"/>
    <w:rsid w:val="00313F50"/>
    <w:rsid w:val="003142B8"/>
    <w:rsid w:val="00314538"/>
    <w:rsid w:val="00314B7F"/>
    <w:rsid w:val="00314E10"/>
    <w:rsid w:val="0031548D"/>
    <w:rsid w:val="00315B95"/>
    <w:rsid w:val="00315BA9"/>
    <w:rsid w:val="00315C12"/>
    <w:rsid w:val="00316305"/>
    <w:rsid w:val="00316B7D"/>
    <w:rsid w:val="00316EFD"/>
    <w:rsid w:val="00317531"/>
    <w:rsid w:val="00317782"/>
    <w:rsid w:val="003177AF"/>
    <w:rsid w:val="003178D2"/>
    <w:rsid w:val="00317B02"/>
    <w:rsid w:val="00317B7B"/>
    <w:rsid w:val="00317CB6"/>
    <w:rsid w:val="00317D5B"/>
    <w:rsid w:val="0032005E"/>
    <w:rsid w:val="00320A2D"/>
    <w:rsid w:val="00320E22"/>
    <w:rsid w:val="00320E24"/>
    <w:rsid w:val="003217D7"/>
    <w:rsid w:val="00321BF2"/>
    <w:rsid w:val="00322642"/>
    <w:rsid w:val="00322B3E"/>
    <w:rsid w:val="00322EBF"/>
    <w:rsid w:val="00322F8D"/>
    <w:rsid w:val="00323317"/>
    <w:rsid w:val="00323392"/>
    <w:rsid w:val="0032391A"/>
    <w:rsid w:val="00324009"/>
    <w:rsid w:val="00324ACC"/>
    <w:rsid w:val="00325127"/>
    <w:rsid w:val="00325783"/>
    <w:rsid w:val="0032578A"/>
    <w:rsid w:val="00325887"/>
    <w:rsid w:val="00325C93"/>
    <w:rsid w:val="0032661B"/>
    <w:rsid w:val="00326888"/>
    <w:rsid w:val="00326E2C"/>
    <w:rsid w:val="00327007"/>
    <w:rsid w:val="003271E5"/>
    <w:rsid w:val="003271F6"/>
    <w:rsid w:val="0032732A"/>
    <w:rsid w:val="00327F8D"/>
    <w:rsid w:val="00330181"/>
    <w:rsid w:val="00330BB8"/>
    <w:rsid w:val="00331A74"/>
    <w:rsid w:val="00331E13"/>
    <w:rsid w:val="00331EA4"/>
    <w:rsid w:val="00333547"/>
    <w:rsid w:val="00333E3A"/>
    <w:rsid w:val="00334001"/>
    <w:rsid w:val="003341EC"/>
    <w:rsid w:val="003345A5"/>
    <w:rsid w:val="00334904"/>
    <w:rsid w:val="0033503F"/>
    <w:rsid w:val="00335071"/>
    <w:rsid w:val="003355A2"/>
    <w:rsid w:val="0033637D"/>
    <w:rsid w:val="00336960"/>
    <w:rsid w:val="00336F07"/>
    <w:rsid w:val="00337445"/>
    <w:rsid w:val="00337F8D"/>
    <w:rsid w:val="00340073"/>
    <w:rsid w:val="0034028D"/>
    <w:rsid w:val="003405A1"/>
    <w:rsid w:val="0034177B"/>
    <w:rsid w:val="0034225D"/>
    <w:rsid w:val="003425B9"/>
    <w:rsid w:val="00342840"/>
    <w:rsid w:val="00342B17"/>
    <w:rsid w:val="00343402"/>
    <w:rsid w:val="0034368C"/>
    <w:rsid w:val="00343CA5"/>
    <w:rsid w:val="00344245"/>
    <w:rsid w:val="00344773"/>
    <w:rsid w:val="00344ECF"/>
    <w:rsid w:val="003452E9"/>
    <w:rsid w:val="00345821"/>
    <w:rsid w:val="003458CE"/>
    <w:rsid w:val="003467D8"/>
    <w:rsid w:val="00346C57"/>
    <w:rsid w:val="003472D8"/>
    <w:rsid w:val="00347A5C"/>
    <w:rsid w:val="00347D8A"/>
    <w:rsid w:val="0035027F"/>
    <w:rsid w:val="003510F9"/>
    <w:rsid w:val="00351A76"/>
    <w:rsid w:val="0035229F"/>
    <w:rsid w:val="00352A24"/>
    <w:rsid w:val="003531DA"/>
    <w:rsid w:val="00353542"/>
    <w:rsid w:val="003548D2"/>
    <w:rsid w:val="003549F8"/>
    <w:rsid w:val="00354FCD"/>
    <w:rsid w:val="0035500E"/>
    <w:rsid w:val="00355878"/>
    <w:rsid w:val="00355FC6"/>
    <w:rsid w:val="00356274"/>
    <w:rsid w:val="003566C2"/>
    <w:rsid w:val="00356A24"/>
    <w:rsid w:val="003606BA"/>
    <w:rsid w:val="00360846"/>
    <w:rsid w:val="003609D6"/>
    <w:rsid w:val="00360D3E"/>
    <w:rsid w:val="00361274"/>
    <w:rsid w:val="0036173C"/>
    <w:rsid w:val="003618BB"/>
    <w:rsid w:val="003619F8"/>
    <w:rsid w:val="00361DB7"/>
    <w:rsid w:val="003622DD"/>
    <w:rsid w:val="0036276E"/>
    <w:rsid w:val="0036325F"/>
    <w:rsid w:val="0036394A"/>
    <w:rsid w:val="00363BE5"/>
    <w:rsid w:val="00363D26"/>
    <w:rsid w:val="0036468F"/>
    <w:rsid w:val="00364C29"/>
    <w:rsid w:val="00364E41"/>
    <w:rsid w:val="003650F4"/>
    <w:rsid w:val="00365171"/>
    <w:rsid w:val="00365936"/>
    <w:rsid w:val="00366166"/>
    <w:rsid w:val="0036711D"/>
    <w:rsid w:val="00367FD8"/>
    <w:rsid w:val="003703FB"/>
    <w:rsid w:val="00370C28"/>
    <w:rsid w:val="00370E0A"/>
    <w:rsid w:val="00371254"/>
    <w:rsid w:val="00371960"/>
    <w:rsid w:val="00371A7E"/>
    <w:rsid w:val="00371BDF"/>
    <w:rsid w:val="00372206"/>
    <w:rsid w:val="003727F8"/>
    <w:rsid w:val="00372A3A"/>
    <w:rsid w:val="00372A64"/>
    <w:rsid w:val="00372F8C"/>
    <w:rsid w:val="00373008"/>
    <w:rsid w:val="00373560"/>
    <w:rsid w:val="00373D8C"/>
    <w:rsid w:val="003744D9"/>
    <w:rsid w:val="00374601"/>
    <w:rsid w:val="00376BA1"/>
    <w:rsid w:val="00380701"/>
    <w:rsid w:val="00381039"/>
    <w:rsid w:val="00381753"/>
    <w:rsid w:val="003818AD"/>
    <w:rsid w:val="00381A33"/>
    <w:rsid w:val="003821FE"/>
    <w:rsid w:val="003822D5"/>
    <w:rsid w:val="003828EC"/>
    <w:rsid w:val="00382940"/>
    <w:rsid w:val="00382BA9"/>
    <w:rsid w:val="00382C95"/>
    <w:rsid w:val="00383052"/>
    <w:rsid w:val="00383679"/>
    <w:rsid w:val="00383F01"/>
    <w:rsid w:val="003842A2"/>
    <w:rsid w:val="0038431D"/>
    <w:rsid w:val="00384620"/>
    <w:rsid w:val="003846CC"/>
    <w:rsid w:val="00384A68"/>
    <w:rsid w:val="00385A6C"/>
    <w:rsid w:val="00385B14"/>
    <w:rsid w:val="003868B7"/>
    <w:rsid w:val="00386ADE"/>
    <w:rsid w:val="00387719"/>
    <w:rsid w:val="00387DA6"/>
    <w:rsid w:val="00390282"/>
    <w:rsid w:val="00390292"/>
    <w:rsid w:val="0039031C"/>
    <w:rsid w:val="00390CF3"/>
    <w:rsid w:val="003911A2"/>
    <w:rsid w:val="003913B9"/>
    <w:rsid w:val="003914F2"/>
    <w:rsid w:val="003918B1"/>
    <w:rsid w:val="0039212E"/>
    <w:rsid w:val="0039228F"/>
    <w:rsid w:val="0039255F"/>
    <w:rsid w:val="0039321E"/>
    <w:rsid w:val="0039385F"/>
    <w:rsid w:val="00393C26"/>
    <w:rsid w:val="00393D86"/>
    <w:rsid w:val="003950FA"/>
    <w:rsid w:val="00395204"/>
    <w:rsid w:val="00395B53"/>
    <w:rsid w:val="003962FE"/>
    <w:rsid w:val="0039663D"/>
    <w:rsid w:val="00396A51"/>
    <w:rsid w:val="003974B8"/>
    <w:rsid w:val="003976EA"/>
    <w:rsid w:val="00397986"/>
    <w:rsid w:val="00397D81"/>
    <w:rsid w:val="003A0406"/>
    <w:rsid w:val="003A0AF4"/>
    <w:rsid w:val="003A0B20"/>
    <w:rsid w:val="003A0EDE"/>
    <w:rsid w:val="003A2D0A"/>
    <w:rsid w:val="003A2D32"/>
    <w:rsid w:val="003A3158"/>
    <w:rsid w:val="003A352E"/>
    <w:rsid w:val="003A3B83"/>
    <w:rsid w:val="003A4733"/>
    <w:rsid w:val="003A4749"/>
    <w:rsid w:val="003A493C"/>
    <w:rsid w:val="003A4EEB"/>
    <w:rsid w:val="003A56F8"/>
    <w:rsid w:val="003A5754"/>
    <w:rsid w:val="003A5757"/>
    <w:rsid w:val="003A5A22"/>
    <w:rsid w:val="003A5CCC"/>
    <w:rsid w:val="003A6053"/>
    <w:rsid w:val="003A6662"/>
    <w:rsid w:val="003A6AB4"/>
    <w:rsid w:val="003A7E48"/>
    <w:rsid w:val="003B050A"/>
    <w:rsid w:val="003B06EB"/>
    <w:rsid w:val="003B0A93"/>
    <w:rsid w:val="003B1987"/>
    <w:rsid w:val="003B1AE6"/>
    <w:rsid w:val="003B2B3F"/>
    <w:rsid w:val="003B2C52"/>
    <w:rsid w:val="003B3B8E"/>
    <w:rsid w:val="003B3DFB"/>
    <w:rsid w:val="003B4174"/>
    <w:rsid w:val="003B4B37"/>
    <w:rsid w:val="003B5429"/>
    <w:rsid w:val="003B5447"/>
    <w:rsid w:val="003B5D99"/>
    <w:rsid w:val="003B5F54"/>
    <w:rsid w:val="003B6109"/>
    <w:rsid w:val="003B6D4F"/>
    <w:rsid w:val="003B7896"/>
    <w:rsid w:val="003B7970"/>
    <w:rsid w:val="003C0FE5"/>
    <w:rsid w:val="003C176E"/>
    <w:rsid w:val="003C1DB6"/>
    <w:rsid w:val="003C1DE5"/>
    <w:rsid w:val="003C2232"/>
    <w:rsid w:val="003C24D1"/>
    <w:rsid w:val="003C25E2"/>
    <w:rsid w:val="003C262F"/>
    <w:rsid w:val="003C3066"/>
    <w:rsid w:val="003C3C9C"/>
    <w:rsid w:val="003C3CF2"/>
    <w:rsid w:val="003C3DC8"/>
    <w:rsid w:val="003C3EDB"/>
    <w:rsid w:val="003C478F"/>
    <w:rsid w:val="003C51E0"/>
    <w:rsid w:val="003C5C99"/>
    <w:rsid w:val="003C5E45"/>
    <w:rsid w:val="003C662E"/>
    <w:rsid w:val="003C7143"/>
    <w:rsid w:val="003C79FC"/>
    <w:rsid w:val="003C7D36"/>
    <w:rsid w:val="003C7F9C"/>
    <w:rsid w:val="003D01EB"/>
    <w:rsid w:val="003D1106"/>
    <w:rsid w:val="003D1C07"/>
    <w:rsid w:val="003D1C3F"/>
    <w:rsid w:val="003D1DA4"/>
    <w:rsid w:val="003D1E9B"/>
    <w:rsid w:val="003D20A9"/>
    <w:rsid w:val="003D287E"/>
    <w:rsid w:val="003D2F6F"/>
    <w:rsid w:val="003D3097"/>
    <w:rsid w:val="003D3114"/>
    <w:rsid w:val="003D348B"/>
    <w:rsid w:val="003D34F2"/>
    <w:rsid w:val="003D3E5A"/>
    <w:rsid w:val="003D4849"/>
    <w:rsid w:val="003D530D"/>
    <w:rsid w:val="003D5364"/>
    <w:rsid w:val="003D575C"/>
    <w:rsid w:val="003D62B3"/>
    <w:rsid w:val="003D6380"/>
    <w:rsid w:val="003D6549"/>
    <w:rsid w:val="003D69B3"/>
    <w:rsid w:val="003D74A6"/>
    <w:rsid w:val="003E0B29"/>
    <w:rsid w:val="003E11F9"/>
    <w:rsid w:val="003E1380"/>
    <w:rsid w:val="003E21ED"/>
    <w:rsid w:val="003E2520"/>
    <w:rsid w:val="003E258F"/>
    <w:rsid w:val="003E2681"/>
    <w:rsid w:val="003E27C3"/>
    <w:rsid w:val="003E2AF6"/>
    <w:rsid w:val="003E30E6"/>
    <w:rsid w:val="003E335F"/>
    <w:rsid w:val="003E3D7B"/>
    <w:rsid w:val="003E41DF"/>
    <w:rsid w:val="003E427C"/>
    <w:rsid w:val="003E4984"/>
    <w:rsid w:val="003E4CA1"/>
    <w:rsid w:val="003E4D97"/>
    <w:rsid w:val="003E52A8"/>
    <w:rsid w:val="003E54B2"/>
    <w:rsid w:val="003E56CF"/>
    <w:rsid w:val="003E5DE5"/>
    <w:rsid w:val="003E5DF7"/>
    <w:rsid w:val="003E62DF"/>
    <w:rsid w:val="003E674C"/>
    <w:rsid w:val="003E68C3"/>
    <w:rsid w:val="003E6C33"/>
    <w:rsid w:val="003E71A7"/>
    <w:rsid w:val="003E74A0"/>
    <w:rsid w:val="003E74BC"/>
    <w:rsid w:val="003E74FD"/>
    <w:rsid w:val="003F02F3"/>
    <w:rsid w:val="003F0CCE"/>
    <w:rsid w:val="003F0DB6"/>
    <w:rsid w:val="003F0E93"/>
    <w:rsid w:val="003F1282"/>
    <w:rsid w:val="003F152D"/>
    <w:rsid w:val="003F25FE"/>
    <w:rsid w:val="003F2752"/>
    <w:rsid w:val="003F2A13"/>
    <w:rsid w:val="003F321F"/>
    <w:rsid w:val="003F36EA"/>
    <w:rsid w:val="003F37DA"/>
    <w:rsid w:val="003F3866"/>
    <w:rsid w:val="003F3B76"/>
    <w:rsid w:val="003F42C4"/>
    <w:rsid w:val="003F4415"/>
    <w:rsid w:val="003F5423"/>
    <w:rsid w:val="003F5DD1"/>
    <w:rsid w:val="003F603A"/>
    <w:rsid w:val="003F6079"/>
    <w:rsid w:val="003F6149"/>
    <w:rsid w:val="003F61E1"/>
    <w:rsid w:val="003F66F0"/>
    <w:rsid w:val="003F6AD8"/>
    <w:rsid w:val="003F6BA6"/>
    <w:rsid w:val="003F6BF5"/>
    <w:rsid w:val="003F6DE6"/>
    <w:rsid w:val="003F745B"/>
    <w:rsid w:val="004001B8"/>
    <w:rsid w:val="004013CC"/>
    <w:rsid w:val="0040146F"/>
    <w:rsid w:val="00401E2A"/>
    <w:rsid w:val="004029FD"/>
    <w:rsid w:val="00402A2C"/>
    <w:rsid w:val="0040318A"/>
    <w:rsid w:val="0040320F"/>
    <w:rsid w:val="00403BA5"/>
    <w:rsid w:val="00403CD4"/>
    <w:rsid w:val="00404484"/>
    <w:rsid w:val="00404CD9"/>
    <w:rsid w:val="0040601F"/>
    <w:rsid w:val="004068A7"/>
    <w:rsid w:val="00406AEB"/>
    <w:rsid w:val="00406DA5"/>
    <w:rsid w:val="0040791A"/>
    <w:rsid w:val="00407DBE"/>
    <w:rsid w:val="00410417"/>
    <w:rsid w:val="0041045F"/>
    <w:rsid w:val="00410516"/>
    <w:rsid w:val="004107CA"/>
    <w:rsid w:val="0041092E"/>
    <w:rsid w:val="0041096C"/>
    <w:rsid w:val="00410B33"/>
    <w:rsid w:val="00410C65"/>
    <w:rsid w:val="00410E49"/>
    <w:rsid w:val="004110FA"/>
    <w:rsid w:val="004116CC"/>
    <w:rsid w:val="0041174F"/>
    <w:rsid w:val="00411781"/>
    <w:rsid w:val="0041185F"/>
    <w:rsid w:val="004119EC"/>
    <w:rsid w:val="00411CE7"/>
    <w:rsid w:val="00411F2A"/>
    <w:rsid w:val="00412D5B"/>
    <w:rsid w:val="004132A1"/>
    <w:rsid w:val="00413E6B"/>
    <w:rsid w:val="0041403D"/>
    <w:rsid w:val="00414D6E"/>
    <w:rsid w:val="00414FCB"/>
    <w:rsid w:val="0041513D"/>
    <w:rsid w:val="00415490"/>
    <w:rsid w:val="0041564B"/>
    <w:rsid w:val="00415AE3"/>
    <w:rsid w:val="00415C5B"/>
    <w:rsid w:val="0041641A"/>
    <w:rsid w:val="00416A23"/>
    <w:rsid w:val="00416EF8"/>
    <w:rsid w:val="0041701D"/>
    <w:rsid w:val="0041717C"/>
    <w:rsid w:val="00417CAA"/>
    <w:rsid w:val="00420254"/>
    <w:rsid w:val="00420EAA"/>
    <w:rsid w:val="004214F9"/>
    <w:rsid w:val="00421FA9"/>
    <w:rsid w:val="00422CC9"/>
    <w:rsid w:val="0042301B"/>
    <w:rsid w:val="004236D8"/>
    <w:rsid w:val="0042380A"/>
    <w:rsid w:val="00423C0A"/>
    <w:rsid w:val="00423F2C"/>
    <w:rsid w:val="00424540"/>
    <w:rsid w:val="00424C74"/>
    <w:rsid w:val="00425228"/>
    <w:rsid w:val="00426A20"/>
    <w:rsid w:val="00426CA2"/>
    <w:rsid w:val="00427959"/>
    <w:rsid w:val="00427EC4"/>
    <w:rsid w:val="004301B9"/>
    <w:rsid w:val="00430735"/>
    <w:rsid w:val="0043097B"/>
    <w:rsid w:val="0043117B"/>
    <w:rsid w:val="004313D4"/>
    <w:rsid w:val="00431D65"/>
    <w:rsid w:val="00431E60"/>
    <w:rsid w:val="00433313"/>
    <w:rsid w:val="00433A2A"/>
    <w:rsid w:val="00434624"/>
    <w:rsid w:val="004346D1"/>
    <w:rsid w:val="00434F7B"/>
    <w:rsid w:val="00435264"/>
    <w:rsid w:val="004357DF"/>
    <w:rsid w:val="0043614E"/>
    <w:rsid w:val="00436348"/>
    <w:rsid w:val="00436D5A"/>
    <w:rsid w:val="00437AFF"/>
    <w:rsid w:val="00437EFE"/>
    <w:rsid w:val="004404D2"/>
    <w:rsid w:val="00440943"/>
    <w:rsid w:val="00440C73"/>
    <w:rsid w:val="00440E89"/>
    <w:rsid w:val="00441760"/>
    <w:rsid w:val="004418ED"/>
    <w:rsid w:val="00441A69"/>
    <w:rsid w:val="004422CC"/>
    <w:rsid w:val="004424AD"/>
    <w:rsid w:val="0044291D"/>
    <w:rsid w:val="00442D17"/>
    <w:rsid w:val="00442F1E"/>
    <w:rsid w:val="004430B7"/>
    <w:rsid w:val="00443265"/>
    <w:rsid w:val="00443505"/>
    <w:rsid w:val="00443828"/>
    <w:rsid w:val="004438E5"/>
    <w:rsid w:val="00443F4B"/>
    <w:rsid w:val="0044414C"/>
    <w:rsid w:val="004447CC"/>
    <w:rsid w:val="004452C5"/>
    <w:rsid w:val="004456AB"/>
    <w:rsid w:val="004458B6"/>
    <w:rsid w:val="00445A02"/>
    <w:rsid w:val="00445B7D"/>
    <w:rsid w:val="00445DFC"/>
    <w:rsid w:val="004465C1"/>
    <w:rsid w:val="00446D24"/>
    <w:rsid w:val="004475C2"/>
    <w:rsid w:val="00450733"/>
    <w:rsid w:val="0045097D"/>
    <w:rsid w:val="0045099D"/>
    <w:rsid w:val="00450A39"/>
    <w:rsid w:val="00450EA7"/>
    <w:rsid w:val="00451D77"/>
    <w:rsid w:val="0045216F"/>
    <w:rsid w:val="00452174"/>
    <w:rsid w:val="0045228F"/>
    <w:rsid w:val="004526C7"/>
    <w:rsid w:val="0045292D"/>
    <w:rsid w:val="00452A64"/>
    <w:rsid w:val="00452C3B"/>
    <w:rsid w:val="00452D8C"/>
    <w:rsid w:val="00453323"/>
    <w:rsid w:val="004533EF"/>
    <w:rsid w:val="00453F25"/>
    <w:rsid w:val="004547FD"/>
    <w:rsid w:val="0045486B"/>
    <w:rsid w:val="00455176"/>
    <w:rsid w:val="004554E6"/>
    <w:rsid w:val="00455ABC"/>
    <w:rsid w:val="004560DC"/>
    <w:rsid w:val="00456714"/>
    <w:rsid w:val="00456831"/>
    <w:rsid w:val="00456B3E"/>
    <w:rsid w:val="00456C48"/>
    <w:rsid w:val="00457155"/>
    <w:rsid w:val="00457914"/>
    <w:rsid w:val="00457FB0"/>
    <w:rsid w:val="00460555"/>
    <w:rsid w:val="00460BE4"/>
    <w:rsid w:val="00460E48"/>
    <w:rsid w:val="004619DF"/>
    <w:rsid w:val="00461C88"/>
    <w:rsid w:val="00461F84"/>
    <w:rsid w:val="004620BE"/>
    <w:rsid w:val="0046210C"/>
    <w:rsid w:val="0046290B"/>
    <w:rsid w:val="004630BD"/>
    <w:rsid w:val="00463DDC"/>
    <w:rsid w:val="00463F2D"/>
    <w:rsid w:val="0046404A"/>
    <w:rsid w:val="004642A9"/>
    <w:rsid w:val="004642E6"/>
    <w:rsid w:val="00464819"/>
    <w:rsid w:val="00464981"/>
    <w:rsid w:val="00466EF7"/>
    <w:rsid w:val="00466F95"/>
    <w:rsid w:val="004678B6"/>
    <w:rsid w:val="00467DCB"/>
    <w:rsid w:val="0047027A"/>
    <w:rsid w:val="004705CD"/>
    <w:rsid w:val="004711A4"/>
    <w:rsid w:val="004719C7"/>
    <w:rsid w:val="0047240F"/>
    <w:rsid w:val="004725F8"/>
    <w:rsid w:val="00472D55"/>
    <w:rsid w:val="00473936"/>
    <w:rsid w:val="00474162"/>
    <w:rsid w:val="00474502"/>
    <w:rsid w:val="004745B9"/>
    <w:rsid w:val="004747A6"/>
    <w:rsid w:val="00474FAC"/>
    <w:rsid w:val="00475799"/>
    <w:rsid w:val="00475C78"/>
    <w:rsid w:val="00475F8D"/>
    <w:rsid w:val="004761A3"/>
    <w:rsid w:val="00476313"/>
    <w:rsid w:val="004765C3"/>
    <w:rsid w:val="00476805"/>
    <w:rsid w:val="004768F7"/>
    <w:rsid w:val="00476B47"/>
    <w:rsid w:val="00476EBE"/>
    <w:rsid w:val="00477064"/>
    <w:rsid w:val="00477189"/>
    <w:rsid w:val="004772F3"/>
    <w:rsid w:val="0048008D"/>
    <w:rsid w:val="0048031F"/>
    <w:rsid w:val="00480990"/>
    <w:rsid w:val="00480EC6"/>
    <w:rsid w:val="004813C4"/>
    <w:rsid w:val="00481B29"/>
    <w:rsid w:val="00482352"/>
    <w:rsid w:val="00482AA5"/>
    <w:rsid w:val="00483070"/>
    <w:rsid w:val="00483486"/>
    <w:rsid w:val="00483F22"/>
    <w:rsid w:val="00484901"/>
    <w:rsid w:val="004851AF"/>
    <w:rsid w:val="004856E1"/>
    <w:rsid w:val="00485933"/>
    <w:rsid w:val="00485C2E"/>
    <w:rsid w:val="00485DB7"/>
    <w:rsid w:val="00485EF6"/>
    <w:rsid w:val="004870BA"/>
    <w:rsid w:val="00487D57"/>
    <w:rsid w:val="00487FD1"/>
    <w:rsid w:val="00490D4D"/>
    <w:rsid w:val="004920F6"/>
    <w:rsid w:val="004926F3"/>
    <w:rsid w:val="00492F48"/>
    <w:rsid w:val="004936FC"/>
    <w:rsid w:val="00493767"/>
    <w:rsid w:val="00493B3F"/>
    <w:rsid w:val="0049410A"/>
    <w:rsid w:val="004941D8"/>
    <w:rsid w:val="004942E7"/>
    <w:rsid w:val="00494572"/>
    <w:rsid w:val="004946FB"/>
    <w:rsid w:val="00494A55"/>
    <w:rsid w:val="00494C08"/>
    <w:rsid w:val="00494EA5"/>
    <w:rsid w:val="00494F62"/>
    <w:rsid w:val="00495224"/>
    <w:rsid w:val="0049560D"/>
    <w:rsid w:val="00495C0A"/>
    <w:rsid w:val="00495E68"/>
    <w:rsid w:val="004977F8"/>
    <w:rsid w:val="00497F5E"/>
    <w:rsid w:val="004A022D"/>
    <w:rsid w:val="004A0423"/>
    <w:rsid w:val="004A0CDA"/>
    <w:rsid w:val="004A1124"/>
    <w:rsid w:val="004A1FDE"/>
    <w:rsid w:val="004A2E47"/>
    <w:rsid w:val="004A4126"/>
    <w:rsid w:val="004A5357"/>
    <w:rsid w:val="004A5541"/>
    <w:rsid w:val="004A6587"/>
    <w:rsid w:val="004A669E"/>
    <w:rsid w:val="004A6CEE"/>
    <w:rsid w:val="004A6F0D"/>
    <w:rsid w:val="004A6F35"/>
    <w:rsid w:val="004A77ED"/>
    <w:rsid w:val="004A7883"/>
    <w:rsid w:val="004A7E1E"/>
    <w:rsid w:val="004B057F"/>
    <w:rsid w:val="004B0827"/>
    <w:rsid w:val="004B0E84"/>
    <w:rsid w:val="004B0F63"/>
    <w:rsid w:val="004B125B"/>
    <w:rsid w:val="004B146D"/>
    <w:rsid w:val="004B1EFC"/>
    <w:rsid w:val="004B2869"/>
    <w:rsid w:val="004B2E44"/>
    <w:rsid w:val="004B3096"/>
    <w:rsid w:val="004B4911"/>
    <w:rsid w:val="004B4956"/>
    <w:rsid w:val="004B4BD4"/>
    <w:rsid w:val="004B4C96"/>
    <w:rsid w:val="004B564C"/>
    <w:rsid w:val="004B6170"/>
    <w:rsid w:val="004B6436"/>
    <w:rsid w:val="004B694C"/>
    <w:rsid w:val="004B71AB"/>
    <w:rsid w:val="004B7CE4"/>
    <w:rsid w:val="004B7E17"/>
    <w:rsid w:val="004B7F4D"/>
    <w:rsid w:val="004C0315"/>
    <w:rsid w:val="004C11A1"/>
    <w:rsid w:val="004C1279"/>
    <w:rsid w:val="004C1A8E"/>
    <w:rsid w:val="004C1D94"/>
    <w:rsid w:val="004C233B"/>
    <w:rsid w:val="004C2340"/>
    <w:rsid w:val="004C27C2"/>
    <w:rsid w:val="004C2922"/>
    <w:rsid w:val="004C3104"/>
    <w:rsid w:val="004C310D"/>
    <w:rsid w:val="004C4237"/>
    <w:rsid w:val="004C45B9"/>
    <w:rsid w:val="004C4694"/>
    <w:rsid w:val="004C5519"/>
    <w:rsid w:val="004C57D6"/>
    <w:rsid w:val="004C598F"/>
    <w:rsid w:val="004C59DC"/>
    <w:rsid w:val="004C59FD"/>
    <w:rsid w:val="004C6684"/>
    <w:rsid w:val="004C794F"/>
    <w:rsid w:val="004C79AF"/>
    <w:rsid w:val="004C7E02"/>
    <w:rsid w:val="004D054E"/>
    <w:rsid w:val="004D0981"/>
    <w:rsid w:val="004D0CB1"/>
    <w:rsid w:val="004D1577"/>
    <w:rsid w:val="004D1992"/>
    <w:rsid w:val="004D30E2"/>
    <w:rsid w:val="004D322D"/>
    <w:rsid w:val="004D35CD"/>
    <w:rsid w:val="004D401C"/>
    <w:rsid w:val="004D42AF"/>
    <w:rsid w:val="004D4DA4"/>
    <w:rsid w:val="004D5254"/>
    <w:rsid w:val="004D55D6"/>
    <w:rsid w:val="004D56CA"/>
    <w:rsid w:val="004D5701"/>
    <w:rsid w:val="004D598D"/>
    <w:rsid w:val="004D6013"/>
    <w:rsid w:val="004D61AD"/>
    <w:rsid w:val="004D6C5B"/>
    <w:rsid w:val="004D7C56"/>
    <w:rsid w:val="004D7DC7"/>
    <w:rsid w:val="004E025F"/>
    <w:rsid w:val="004E02CD"/>
    <w:rsid w:val="004E0795"/>
    <w:rsid w:val="004E086B"/>
    <w:rsid w:val="004E0887"/>
    <w:rsid w:val="004E11F9"/>
    <w:rsid w:val="004E17B3"/>
    <w:rsid w:val="004E1A22"/>
    <w:rsid w:val="004E1C84"/>
    <w:rsid w:val="004E2529"/>
    <w:rsid w:val="004E28F8"/>
    <w:rsid w:val="004E2984"/>
    <w:rsid w:val="004E2E7D"/>
    <w:rsid w:val="004E3B69"/>
    <w:rsid w:val="004E4323"/>
    <w:rsid w:val="004E52DE"/>
    <w:rsid w:val="004E538C"/>
    <w:rsid w:val="004E6E54"/>
    <w:rsid w:val="004E6E7A"/>
    <w:rsid w:val="004E6F08"/>
    <w:rsid w:val="004E71CA"/>
    <w:rsid w:val="004E7429"/>
    <w:rsid w:val="004E755E"/>
    <w:rsid w:val="004E78FC"/>
    <w:rsid w:val="004E7953"/>
    <w:rsid w:val="004F0182"/>
    <w:rsid w:val="004F0364"/>
    <w:rsid w:val="004F0397"/>
    <w:rsid w:val="004F070F"/>
    <w:rsid w:val="004F0B1C"/>
    <w:rsid w:val="004F0DAA"/>
    <w:rsid w:val="004F0E29"/>
    <w:rsid w:val="004F215F"/>
    <w:rsid w:val="004F24E5"/>
    <w:rsid w:val="004F2BA3"/>
    <w:rsid w:val="004F2FAD"/>
    <w:rsid w:val="004F3482"/>
    <w:rsid w:val="004F39F9"/>
    <w:rsid w:val="004F3A5A"/>
    <w:rsid w:val="004F45C6"/>
    <w:rsid w:val="004F4817"/>
    <w:rsid w:val="004F4C10"/>
    <w:rsid w:val="004F5095"/>
    <w:rsid w:val="004F50C9"/>
    <w:rsid w:val="004F53D9"/>
    <w:rsid w:val="004F58AC"/>
    <w:rsid w:val="004F5A15"/>
    <w:rsid w:val="004F5EC7"/>
    <w:rsid w:val="004F6C68"/>
    <w:rsid w:val="004F736F"/>
    <w:rsid w:val="004F7AF3"/>
    <w:rsid w:val="00500768"/>
    <w:rsid w:val="00500EA0"/>
    <w:rsid w:val="00501107"/>
    <w:rsid w:val="005012EF"/>
    <w:rsid w:val="005014D2"/>
    <w:rsid w:val="00501F70"/>
    <w:rsid w:val="005024E9"/>
    <w:rsid w:val="0050272D"/>
    <w:rsid w:val="0050289C"/>
    <w:rsid w:val="0050292D"/>
    <w:rsid w:val="00502B14"/>
    <w:rsid w:val="00502D16"/>
    <w:rsid w:val="0050360E"/>
    <w:rsid w:val="00503951"/>
    <w:rsid w:val="00503B23"/>
    <w:rsid w:val="0050412B"/>
    <w:rsid w:val="0050537A"/>
    <w:rsid w:val="005056BF"/>
    <w:rsid w:val="005065B9"/>
    <w:rsid w:val="005066A1"/>
    <w:rsid w:val="00506833"/>
    <w:rsid w:val="00507661"/>
    <w:rsid w:val="00507FEE"/>
    <w:rsid w:val="0051022C"/>
    <w:rsid w:val="00510674"/>
    <w:rsid w:val="00511517"/>
    <w:rsid w:val="005115F4"/>
    <w:rsid w:val="00511D80"/>
    <w:rsid w:val="00511E15"/>
    <w:rsid w:val="005123DC"/>
    <w:rsid w:val="0051286F"/>
    <w:rsid w:val="00512F15"/>
    <w:rsid w:val="00513D10"/>
    <w:rsid w:val="00515901"/>
    <w:rsid w:val="00515B0E"/>
    <w:rsid w:val="00515F23"/>
    <w:rsid w:val="0051611E"/>
    <w:rsid w:val="005161BB"/>
    <w:rsid w:val="0051641E"/>
    <w:rsid w:val="0051695D"/>
    <w:rsid w:val="00516FA7"/>
    <w:rsid w:val="0051770C"/>
    <w:rsid w:val="0051776B"/>
    <w:rsid w:val="00517C13"/>
    <w:rsid w:val="00517D68"/>
    <w:rsid w:val="0052017C"/>
    <w:rsid w:val="00520311"/>
    <w:rsid w:val="0052089B"/>
    <w:rsid w:val="00520C1D"/>
    <w:rsid w:val="00521321"/>
    <w:rsid w:val="00521583"/>
    <w:rsid w:val="00521791"/>
    <w:rsid w:val="0052181A"/>
    <w:rsid w:val="0052190B"/>
    <w:rsid w:val="00521A77"/>
    <w:rsid w:val="00521DC3"/>
    <w:rsid w:val="00522079"/>
    <w:rsid w:val="005229F8"/>
    <w:rsid w:val="005231B8"/>
    <w:rsid w:val="005231C8"/>
    <w:rsid w:val="00523440"/>
    <w:rsid w:val="00523688"/>
    <w:rsid w:val="0052395D"/>
    <w:rsid w:val="00523C37"/>
    <w:rsid w:val="00523D68"/>
    <w:rsid w:val="0052463E"/>
    <w:rsid w:val="00524821"/>
    <w:rsid w:val="00524D8A"/>
    <w:rsid w:val="00524E59"/>
    <w:rsid w:val="00524F5D"/>
    <w:rsid w:val="0052527D"/>
    <w:rsid w:val="0052562C"/>
    <w:rsid w:val="00525C49"/>
    <w:rsid w:val="00525CDE"/>
    <w:rsid w:val="005261BC"/>
    <w:rsid w:val="00526574"/>
    <w:rsid w:val="00526D54"/>
    <w:rsid w:val="0052731B"/>
    <w:rsid w:val="00527D6B"/>
    <w:rsid w:val="005301D5"/>
    <w:rsid w:val="00530806"/>
    <w:rsid w:val="005309B4"/>
    <w:rsid w:val="00530F4A"/>
    <w:rsid w:val="0053176E"/>
    <w:rsid w:val="00531FF9"/>
    <w:rsid w:val="00532679"/>
    <w:rsid w:val="00533515"/>
    <w:rsid w:val="00533881"/>
    <w:rsid w:val="005338E3"/>
    <w:rsid w:val="00533C0E"/>
    <w:rsid w:val="00533D39"/>
    <w:rsid w:val="005343F2"/>
    <w:rsid w:val="00535097"/>
    <w:rsid w:val="005357C0"/>
    <w:rsid w:val="005358FF"/>
    <w:rsid w:val="00535B58"/>
    <w:rsid w:val="00535D52"/>
    <w:rsid w:val="00535DB6"/>
    <w:rsid w:val="005360D3"/>
    <w:rsid w:val="0053643F"/>
    <w:rsid w:val="00536497"/>
    <w:rsid w:val="00536686"/>
    <w:rsid w:val="005366E5"/>
    <w:rsid w:val="005366EA"/>
    <w:rsid w:val="00536966"/>
    <w:rsid w:val="005369D1"/>
    <w:rsid w:val="00536D20"/>
    <w:rsid w:val="00536FB6"/>
    <w:rsid w:val="005374F3"/>
    <w:rsid w:val="00540345"/>
    <w:rsid w:val="0054096E"/>
    <w:rsid w:val="00540D35"/>
    <w:rsid w:val="00540DC1"/>
    <w:rsid w:val="00540ED0"/>
    <w:rsid w:val="00541055"/>
    <w:rsid w:val="005417AE"/>
    <w:rsid w:val="005428AC"/>
    <w:rsid w:val="00542AA8"/>
    <w:rsid w:val="00542C41"/>
    <w:rsid w:val="00543559"/>
    <w:rsid w:val="00543984"/>
    <w:rsid w:val="00543F31"/>
    <w:rsid w:val="00544755"/>
    <w:rsid w:val="00544ED1"/>
    <w:rsid w:val="005453F7"/>
    <w:rsid w:val="00546664"/>
    <w:rsid w:val="00546B32"/>
    <w:rsid w:val="00546CD5"/>
    <w:rsid w:val="00547D27"/>
    <w:rsid w:val="00547D84"/>
    <w:rsid w:val="00547E4C"/>
    <w:rsid w:val="0055090D"/>
    <w:rsid w:val="00550B9F"/>
    <w:rsid w:val="00550EC8"/>
    <w:rsid w:val="00550FF3"/>
    <w:rsid w:val="005513A0"/>
    <w:rsid w:val="005514CA"/>
    <w:rsid w:val="00551DE8"/>
    <w:rsid w:val="00552294"/>
    <w:rsid w:val="0055241B"/>
    <w:rsid w:val="00552ECE"/>
    <w:rsid w:val="00552F8C"/>
    <w:rsid w:val="0055335E"/>
    <w:rsid w:val="00553860"/>
    <w:rsid w:val="00553BB6"/>
    <w:rsid w:val="00553C9C"/>
    <w:rsid w:val="00553EA8"/>
    <w:rsid w:val="005548E9"/>
    <w:rsid w:val="00554FDC"/>
    <w:rsid w:val="0055589B"/>
    <w:rsid w:val="00555BD1"/>
    <w:rsid w:val="005563F5"/>
    <w:rsid w:val="00556408"/>
    <w:rsid w:val="005570A6"/>
    <w:rsid w:val="00557A9C"/>
    <w:rsid w:val="00557FCA"/>
    <w:rsid w:val="00560A63"/>
    <w:rsid w:val="00561051"/>
    <w:rsid w:val="00561899"/>
    <w:rsid w:val="00562F00"/>
    <w:rsid w:val="005636D1"/>
    <w:rsid w:val="005643E5"/>
    <w:rsid w:val="00565710"/>
    <w:rsid w:val="00565812"/>
    <w:rsid w:val="00565858"/>
    <w:rsid w:val="00566E65"/>
    <w:rsid w:val="00567103"/>
    <w:rsid w:val="00567215"/>
    <w:rsid w:val="005676B1"/>
    <w:rsid w:val="00567E68"/>
    <w:rsid w:val="00570347"/>
    <w:rsid w:val="0057051F"/>
    <w:rsid w:val="00570B34"/>
    <w:rsid w:val="005716E6"/>
    <w:rsid w:val="0057192A"/>
    <w:rsid w:val="00571A0B"/>
    <w:rsid w:val="00571A30"/>
    <w:rsid w:val="00571AC9"/>
    <w:rsid w:val="005721AC"/>
    <w:rsid w:val="0057228C"/>
    <w:rsid w:val="00572686"/>
    <w:rsid w:val="005727E7"/>
    <w:rsid w:val="005728F5"/>
    <w:rsid w:val="0057305F"/>
    <w:rsid w:val="0057311C"/>
    <w:rsid w:val="005732F5"/>
    <w:rsid w:val="00573615"/>
    <w:rsid w:val="00573E77"/>
    <w:rsid w:val="005741A3"/>
    <w:rsid w:val="00574EC3"/>
    <w:rsid w:val="00575647"/>
    <w:rsid w:val="005769FF"/>
    <w:rsid w:val="00576AF4"/>
    <w:rsid w:val="00576E47"/>
    <w:rsid w:val="00576E4C"/>
    <w:rsid w:val="00576ECA"/>
    <w:rsid w:val="00577714"/>
    <w:rsid w:val="00577CD0"/>
    <w:rsid w:val="00580343"/>
    <w:rsid w:val="005804DD"/>
    <w:rsid w:val="005806BD"/>
    <w:rsid w:val="005806E8"/>
    <w:rsid w:val="005825E4"/>
    <w:rsid w:val="00582E0B"/>
    <w:rsid w:val="00582F6E"/>
    <w:rsid w:val="00583677"/>
    <w:rsid w:val="00583C16"/>
    <w:rsid w:val="00583E25"/>
    <w:rsid w:val="005842F2"/>
    <w:rsid w:val="00584350"/>
    <w:rsid w:val="00584A5D"/>
    <w:rsid w:val="00584B2C"/>
    <w:rsid w:val="00584ED3"/>
    <w:rsid w:val="005851FD"/>
    <w:rsid w:val="00585302"/>
    <w:rsid w:val="00585639"/>
    <w:rsid w:val="00585989"/>
    <w:rsid w:val="00585DB6"/>
    <w:rsid w:val="00585DBC"/>
    <w:rsid w:val="00586DF0"/>
    <w:rsid w:val="00587825"/>
    <w:rsid w:val="0058783D"/>
    <w:rsid w:val="00587BE9"/>
    <w:rsid w:val="00590ACE"/>
    <w:rsid w:val="00590F7C"/>
    <w:rsid w:val="00590F9C"/>
    <w:rsid w:val="005912CA"/>
    <w:rsid w:val="0059150A"/>
    <w:rsid w:val="00592AF2"/>
    <w:rsid w:val="00592FD5"/>
    <w:rsid w:val="00593004"/>
    <w:rsid w:val="00593460"/>
    <w:rsid w:val="00593BA9"/>
    <w:rsid w:val="00593CF3"/>
    <w:rsid w:val="00593E6C"/>
    <w:rsid w:val="00593E74"/>
    <w:rsid w:val="00594527"/>
    <w:rsid w:val="00594696"/>
    <w:rsid w:val="00596363"/>
    <w:rsid w:val="00597E70"/>
    <w:rsid w:val="00597EE7"/>
    <w:rsid w:val="005A05CE"/>
    <w:rsid w:val="005A0C6B"/>
    <w:rsid w:val="005A0E10"/>
    <w:rsid w:val="005A0FF6"/>
    <w:rsid w:val="005A11F4"/>
    <w:rsid w:val="005A16A7"/>
    <w:rsid w:val="005A17DD"/>
    <w:rsid w:val="005A19A6"/>
    <w:rsid w:val="005A1F7E"/>
    <w:rsid w:val="005A2761"/>
    <w:rsid w:val="005A295A"/>
    <w:rsid w:val="005A29E6"/>
    <w:rsid w:val="005A2B5B"/>
    <w:rsid w:val="005A30C6"/>
    <w:rsid w:val="005A365B"/>
    <w:rsid w:val="005A3FC9"/>
    <w:rsid w:val="005A44DD"/>
    <w:rsid w:val="005A47FB"/>
    <w:rsid w:val="005A4879"/>
    <w:rsid w:val="005A48CA"/>
    <w:rsid w:val="005A4CCB"/>
    <w:rsid w:val="005A52A8"/>
    <w:rsid w:val="005A5723"/>
    <w:rsid w:val="005A578A"/>
    <w:rsid w:val="005A57B5"/>
    <w:rsid w:val="005A5B96"/>
    <w:rsid w:val="005A63D3"/>
    <w:rsid w:val="005A69F7"/>
    <w:rsid w:val="005A74C5"/>
    <w:rsid w:val="005A78DE"/>
    <w:rsid w:val="005B18FD"/>
    <w:rsid w:val="005B1B27"/>
    <w:rsid w:val="005B1B5E"/>
    <w:rsid w:val="005B204D"/>
    <w:rsid w:val="005B2689"/>
    <w:rsid w:val="005B29AA"/>
    <w:rsid w:val="005B3C26"/>
    <w:rsid w:val="005B46C3"/>
    <w:rsid w:val="005B49C9"/>
    <w:rsid w:val="005B4EF9"/>
    <w:rsid w:val="005B5BC4"/>
    <w:rsid w:val="005B5D2C"/>
    <w:rsid w:val="005B5D73"/>
    <w:rsid w:val="005B5D75"/>
    <w:rsid w:val="005B6035"/>
    <w:rsid w:val="005B7633"/>
    <w:rsid w:val="005C06EA"/>
    <w:rsid w:val="005C0786"/>
    <w:rsid w:val="005C0C42"/>
    <w:rsid w:val="005C1129"/>
    <w:rsid w:val="005C1313"/>
    <w:rsid w:val="005C17F7"/>
    <w:rsid w:val="005C390E"/>
    <w:rsid w:val="005C3A27"/>
    <w:rsid w:val="005C4309"/>
    <w:rsid w:val="005C4339"/>
    <w:rsid w:val="005C4F3E"/>
    <w:rsid w:val="005C5621"/>
    <w:rsid w:val="005C56B9"/>
    <w:rsid w:val="005C63FD"/>
    <w:rsid w:val="005C661A"/>
    <w:rsid w:val="005C687A"/>
    <w:rsid w:val="005C6B44"/>
    <w:rsid w:val="005C6F6A"/>
    <w:rsid w:val="005C719B"/>
    <w:rsid w:val="005C7AFB"/>
    <w:rsid w:val="005D04B8"/>
    <w:rsid w:val="005D10B7"/>
    <w:rsid w:val="005D12B4"/>
    <w:rsid w:val="005D1939"/>
    <w:rsid w:val="005D1A59"/>
    <w:rsid w:val="005D1AEF"/>
    <w:rsid w:val="005D1D5B"/>
    <w:rsid w:val="005D1EE6"/>
    <w:rsid w:val="005D2593"/>
    <w:rsid w:val="005D25FF"/>
    <w:rsid w:val="005D2C78"/>
    <w:rsid w:val="005D31E5"/>
    <w:rsid w:val="005D401A"/>
    <w:rsid w:val="005D5493"/>
    <w:rsid w:val="005D6BBF"/>
    <w:rsid w:val="005D707F"/>
    <w:rsid w:val="005D73C7"/>
    <w:rsid w:val="005D7DE2"/>
    <w:rsid w:val="005D7FF6"/>
    <w:rsid w:val="005E0239"/>
    <w:rsid w:val="005E02C5"/>
    <w:rsid w:val="005E0386"/>
    <w:rsid w:val="005E0ABA"/>
    <w:rsid w:val="005E0BE3"/>
    <w:rsid w:val="005E1B37"/>
    <w:rsid w:val="005E21C8"/>
    <w:rsid w:val="005E2762"/>
    <w:rsid w:val="005E2EF5"/>
    <w:rsid w:val="005E35FA"/>
    <w:rsid w:val="005E3A0A"/>
    <w:rsid w:val="005E4120"/>
    <w:rsid w:val="005E420E"/>
    <w:rsid w:val="005E4498"/>
    <w:rsid w:val="005E4C0F"/>
    <w:rsid w:val="005E5753"/>
    <w:rsid w:val="005E611C"/>
    <w:rsid w:val="005E669B"/>
    <w:rsid w:val="005E683E"/>
    <w:rsid w:val="005E7C65"/>
    <w:rsid w:val="005E7D27"/>
    <w:rsid w:val="005F0C20"/>
    <w:rsid w:val="005F0E85"/>
    <w:rsid w:val="005F1133"/>
    <w:rsid w:val="005F1224"/>
    <w:rsid w:val="005F1E9F"/>
    <w:rsid w:val="005F2107"/>
    <w:rsid w:val="005F2FFB"/>
    <w:rsid w:val="005F313D"/>
    <w:rsid w:val="005F317B"/>
    <w:rsid w:val="005F3452"/>
    <w:rsid w:val="005F3679"/>
    <w:rsid w:val="005F3BD1"/>
    <w:rsid w:val="005F4050"/>
    <w:rsid w:val="005F40A1"/>
    <w:rsid w:val="005F4572"/>
    <w:rsid w:val="005F4ACD"/>
    <w:rsid w:val="005F4E2B"/>
    <w:rsid w:val="005F50A8"/>
    <w:rsid w:val="005F5549"/>
    <w:rsid w:val="005F5F00"/>
    <w:rsid w:val="005F6385"/>
    <w:rsid w:val="005F6515"/>
    <w:rsid w:val="005F65D8"/>
    <w:rsid w:val="005F6844"/>
    <w:rsid w:val="005F6C38"/>
    <w:rsid w:val="005F6CF7"/>
    <w:rsid w:val="005F7243"/>
    <w:rsid w:val="005F72AA"/>
    <w:rsid w:val="005F72BB"/>
    <w:rsid w:val="005F7E6B"/>
    <w:rsid w:val="00600022"/>
    <w:rsid w:val="00600882"/>
    <w:rsid w:val="00600C9D"/>
    <w:rsid w:val="00600DD4"/>
    <w:rsid w:val="00600E66"/>
    <w:rsid w:val="00600F1E"/>
    <w:rsid w:val="0060142D"/>
    <w:rsid w:val="00601C07"/>
    <w:rsid w:val="00601F73"/>
    <w:rsid w:val="00601F9B"/>
    <w:rsid w:val="00602A4B"/>
    <w:rsid w:val="006030EA"/>
    <w:rsid w:val="006033AB"/>
    <w:rsid w:val="00603BDA"/>
    <w:rsid w:val="00603F2A"/>
    <w:rsid w:val="00603FC2"/>
    <w:rsid w:val="006040EC"/>
    <w:rsid w:val="00604197"/>
    <w:rsid w:val="00604884"/>
    <w:rsid w:val="006049A1"/>
    <w:rsid w:val="00604C18"/>
    <w:rsid w:val="0060584C"/>
    <w:rsid w:val="00605A2A"/>
    <w:rsid w:val="00605C19"/>
    <w:rsid w:val="00605DE6"/>
    <w:rsid w:val="006062B7"/>
    <w:rsid w:val="006077C6"/>
    <w:rsid w:val="00607E34"/>
    <w:rsid w:val="006104F5"/>
    <w:rsid w:val="0061070A"/>
    <w:rsid w:val="00610CFD"/>
    <w:rsid w:val="00610DCD"/>
    <w:rsid w:val="00611328"/>
    <w:rsid w:val="00611564"/>
    <w:rsid w:val="0061199D"/>
    <w:rsid w:val="00611AD5"/>
    <w:rsid w:val="00612007"/>
    <w:rsid w:val="0061257D"/>
    <w:rsid w:val="00612D74"/>
    <w:rsid w:val="00613415"/>
    <w:rsid w:val="006142D4"/>
    <w:rsid w:val="0061486F"/>
    <w:rsid w:val="006148F4"/>
    <w:rsid w:val="00614BB0"/>
    <w:rsid w:val="00614CC7"/>
    <w:rsid w:val="00614FB3"/>
    <w:rsid w:val="006151EA"/>
    <w:rsid w:val="00615856"/>
    <w:rsid w:val="00615E5A"/>
    <w:rsid w:val="00615F1D"/>
    <w:rsid w:val="006166DB"/>
    <w:rsid w:val="0061670D"/>
    <w:rsid w:val="00616711"/>
    <w:rsid w:val="006172D8"/>
    <w:rsid w:val="006177DA"/>
    <w:rsid w:val="00617D57"/>
    <w:rsid w:val="0062013E"/>
    <w:rsid w:val="00620684"/>
    <w:rsid w:val="00620688"/>
    <w:rsid w:val="00620E98"/>
    <w:rsid w:val="00621572"/>
    <w:rsid w:val="006216D8"/>
    <w:rsid w:val="00621BC5"/>
    <w:rsid w:val="00621F69"/>
    <w:rsid w:val="0062206B"/>
    <w:rsid w:val="00622CDF"/>
    <w:rsid w:val="006230C6"/>
    <w:rsid w:val="00623350"/>
    <w:rsid w:val="006239C8"/>
    <w:rsid w:val="0062485F"/>
    <w:rsid w:val="0062506C"/>
    <w:rsid w:val="0062518D"/>
    <w:rsid w:val="00625739"/>
    <w:rsid w:val="00625DAC"/>
    <w:rsid w:val="00626D82"/>
    <w:rsid w:val="00627200"/>
    <w:rsid w:val="00627493"/>
    <w:rsid w:val="006274B0"/>
    <w:rsid w:val="00627513"/>
    <w:rsid w:val="00627D5D"/>
    <w:rsid w:val="006306FB"/>
    <w:rsid w:val="00630876"/>
    <w:rsid w:val="0063154E"/>
    <w:rsid w:val="00631554"/>
    <w:rsid w:val="00631F48"/>
    <w:rsid w:val="0063208A"/>
    <w:rsid w:val="0063230D"/>
    <w:rsid w:val="00632740"/>
    <w:rsid w:val="006327D0"/>
    <w:rsid w:val="00632894"/>
    <w:rsid w:val="006329C6"/>
    <w:rsid w:val="0063305C"/>
    <w:rsid w:val="00633D61"/>
    <w:rsid w:val="00634470"/>
    <w:rsid w:val="006360AF"/>
    <w:rsid w:val="00636417"/>
    <w:rsid w:val="006365A7"/>
    <w:rsid w:val="00636C94"/>
    <w:rsid w:val="0063728D"/>
    <w:rsid w:val="006377CB"/>
    <w:rsid w:val="00637A76"/>
    <w:rsid w:val="006400D2"/>
    <w:rsid w:val="006401BA"/>
    <w:rsid w:val="006402BA"/>
    <w:rsid w:val="00640722"/>
    <w:rsid w:val="00640F68"/>
    <w:rsid w:val="00640FA7"/>
    <w:rsid w:val="00641083"/>
    <w:rsid w:val="006411C4"/>
    <w:rsid w:val="00641B16"/>
    <w:rsid w:val="00642A3C"/>
    <w:rsid w:val="00642FCF"/>
    <w:rsid w:val="006431C3"/>
    <w:rsid w:val="00643329"/>
    <w:rsid w:val="00643715"/>
    <w:rsid w:val="00643D97"/>
    <w:rsid w:val="00644D5C"/>
    <w:rsid w:val="006451E7"/>
    <w:rsid w:val="006453EB"/>
    <w:rsid w:val="00645693"/>
    <w:rsid w:val="00646003"/>
    <w:rsid w:val="006462AE"/>
    <w:rsid w:val="006467B1"/>
    <w:rsid w:val="00646C1C"/>
    <w:rsid w:val="0064747A"/>
    <w:rsid w:val="006475BD"/>
    <w:rsid w:val="00650429"/>
    <w:rsid w:val="006504E5"/>
    <w:rsid w:val="00650830"/>
    <w:rsid w:val="00651260"/>
    <w:rsid w:val="00651382"/>
    <w:rsid w:val="006513D4"/>
    <w:rsid w:val="006514C0"/>
    <w:rsid w:val="0065205B"/>
    <w:rsid w:val="00652131"/>
    <w:rsid w:val="006521BA"/>
    <w:rsid w:val="00652969"/>
    <w:rsid w:val="00652C40"/>
    <w:rsid w:val="00652F93"/>
    <w:rsid w:val="006538A0"/>
    <w:rsid w:val="00653DA5"/>
    <w:rsid w:val="00654128"/>
    <w:rsid w:val="00654378"/>
    <w:rsid w:val="0065437B"/>
    <w:rsid w:val="0065444F"/>
    <w:rsid w:val="006547C7"/>
    <w:rsid w:val="00655859"/>
    <w:rsid w:val="006565A9"/>
    <w:rsid w:val="006566B8"/>
    <w:rsid w:val="006566C7"/>
    <w:rsid w:val="00656EC8"/>
    <w:rsid w:val="00657722"/>
    <w:rsid w:val="006608BB"/>
    <w:rsid w:val="006614C1"/>
    <w:rsid w:val="006614FA"/>
    <w:rsid w:val="0066229D"/>
    <w:rsid w:val="00662B13"/>
    <w:rsid w:val="00662FC5"/>
    <w:rsid w:val="006638CD"/>
    <w:rsid w:val="00663F17"/>
    <w:rsid w:val="00664224"/>
    <w:rsid w:val="0066482A"/>
    <w:rsid w:val="00664A44"/>
    <w:rsid w:val="00664B06"/>
    <w:rsid w:val="00664BC4"/>
    <w:rsid w:val="00665463"/>
    <w:rsid w:val="006654F9"/>
    <w:rsid w:val="00665761"/>
    <w:rsid w:val="00665A54"/>
    <w:rsid w:val="00666223"/>
    <w:rsid w:val="00666395"/>
    <w:rsid w:val="0067001A"/>
    <w:rsid w:val="006700D4"/>
    <w:rsid w:val="006704E2"/>
    <w:rsid w:val="006705B1"/>
    <w:rsid w:val="00670723"/>
    <w:rsid w:val="006708AA"/>
    <w:rsid w:val="006708B0"/>
    <w:rsid w:val="00671ABA"/>
    <w:rsid w:val="00671C5E"/>
    <w:rsid w:val="00671D75"/>
    <w:rsid w:val="00672007"/>
    <w:rsid w:val="006720AC"/>
    <w:rsid w:val="00672303"/>
    <w:rsid w:val="00673036"/>
    <w:rsid w:val="006733D1"/>
    <w:rsid w:val="00673D6B"/>
    <w:rsid w:val="00673FC5"/>
    <w:rsid w:val="00674049"/>
    <w:rsid w:val="00674597"/>
    <w:rsid w:val="00674997"/>
    <w:rsid w:val="00674CD1"/>
    <w:rsid w:val="00675B77"/>
    <w:rsid w:val="00676358"/>
    <w:rsid w:val="006764D7"/>
    <w:rsid w:val="00676A99"/>
    <w:rsid w:val="00677190"/>
    <w:rsid w:val="006772CE"/>
    <w:rsid w:val="00677761"/>
    <w:rsid w:val="00677900"/>
    <w:rsid w:val="00677F9B"/>
    <w:rsid w:val="00680E58"/>
    <w:rsid w:val="00681249"/>
    <w:rsid w:val="0068197D"/>
    <w:rsid w:val="00681E4B"/>
    <w:rsid w:val="006822F7"/>
    <w:rsid w:val="0068293A"/>
    <w:rsid w:val="006829B2"/>
    <w:rsid w:val="00682C8E"/>
    <w:rsid w:val="006835BA"/>
    <w:rsid w:val="00683A10"/>
    <w:rsid w:val="00683A27"/>
    <w:rsid w:val="00683B84"/>
    <w:rsid w:val="00683F3F"/>
    <w:rsid w:val="00683F88"/>
    <w:rsid w:val="006842C3"/>
    <w:rsid w:val="00684573"/>
    <w:rsid w:val="006847D0"/>
    <w:rsid w:val="00685CD8"/>
    <w:rsid w:val="006861AB"/>
    <w:rsid w:val="00686692"/>
    <w:rsid w:val="00686EBE"/>
    <w:rsid w:val="00687020"/>
    <w:rsid w:val="006870F8"/>
    <w:rsid w:val="00687DAC"/>
    <w:rsid w:val="0069019C"/>
    <w:rsid w:val="00690B37"/>
    <w:rsid w:val="006913AB"/>
    <w:rsid w:val="00691438"/>
    <w:rsid w:val="006924DB"/>
    <w:rsid w:val="00692D0A"/>
    <w:rsid w:val="00693367"/>
    <w:rsid w:val="00693D9A"/>
    <w:rsid w:val="0069444E"/>
    <w:rsid w:val="00694505"/>
    <w:rsid w:val="006948AD"/>
    <w:rsid w:val="006950F6"/>
    <w:rsid w:val="0069531B"/>
    <w:rsid w:val="0069557B"/>
    <w:rsid w:val="00695809"/>
    <w:rsid w:val="006958FC"/>
    <w:rsid w:val="0069707B"/>
    <w:rsid w:val="00697894"/>
    <w:rsid w:val="006A0005"/>
    <w:rsid w:val="006A1169"/>
    <w:rsid w:val="006A1184"/>
    <w:rsid w:val="006A1AE9"/>
    <w:rsid w:val="006A22E0"/>
    <w:rsid w:val="006A237B"/>
    <w:rsid w:val="006A2EC9"/>
    <w:rsid w:val="006A32F9"/>
    <w:rsid w:val="006A3954"/>
    <w:rsid w:val="006A468F"/>
    <w:rsid w:val="006A4896"/>
    <w:rsid w:val="006A496A"/>
    <w:rsid w:val="006A51AB"/>
    <w:rsid w:val="006A5487"/>
    <w:rsid w:val="006A58F2"/>
    <w:rsid w:val="006A653B"/>
    <w:rsid w:val="006A77D2"/>
    <w:rsid w:val="006A7AD7"/>
    <w:rsid w:val="006A7DB9"/>
    <w:rsid w:val="006A7E92"/>
    <w:rsid w:val="006B027D"/>
    <w:rsid w:val="006B0E29"/>
    <w:rsid w:val="006B12B2"/>
    <w:rsid w:val="006B12FF"/>
    <w:rsid w:val="006B1A6A"/>
    <w:rsid w:val="006B1ABB"/>
    <w:rsid w:val="006B2A38"/>
    <w:rsid w:val="006B3546"/>
    <w:rsid w:val="006B482A"/>
    <w:rsid w:val="006B54B0"/>
    <w:rsid w:val="006B589B"/>
    <w:rsid w:val="006B5B2F"/>
    <w:rsid w:val="006B5BA9"/>
    <w:rsid w:val="006B6062"/>
    <w:rsid w:val="006B69E6"/>
    <w:rsid w:val="006B6C41"/>
    <w:rsid w:val="006B6CD0"/>
    <w:rsid w:val="006B7A04"/>
    <w:rsid w:val="006B7D28"/>
    <w:rsid w:val="006B7EC3"/>
    <w:rsid w:val="006C031F"/>
    <w:rsid w:val="006C0406"/>
    <w:rsid w:val="006C06DE"/>
    <w:rsid w:val="006C0C01"/>
    <w:rsid w:val="006C131C"/>
    <w:rsid w:val="006C1AF8"/>
    <w:rsid w:val="006C28AF"/>
    <w:rsid w:val="006C38CD"/>
    <w:rsid w:val="006C44A7"/>
    <w:rsid w:val="006C45B2"/>
    <w:rsid w:val="006C4855"/>
    <w:rsid w:val="006C49D8"/>
    <w:rsid w:val="006C4A62"/>
    <w:rsid w:val="006C4CB3"/>
    <w:rsid w:val="006C53C5"/>
    <w:rsid w:val="006C56A2"/>
    <w:rsid w:val="006C7214"/>
    <w:rsid w:val="006C76B4"/>
    <w:rsid w:val="006C7712"/>
    <w:rsid w:val="006C7756"/>
    <w:rsid w:val="006C7881"/>
    <w:rsid w:val="006D008E"/>
    <w:rsid w:val="006D00CA"/>
    <w:rsid w:val="006D0816"/>
    <w:rsid w:val="006D0D86"/>
    <w:rsid w:val="006D0E11"/>
    <w:rsid w:val="006D183A"/>
    <w:rsid w:val="006D18F1"/>
    <w:rsid w:val="006D1943"/>
    <w:rsid w:val="006D1BDC"/>
    <w:rsid w:val="006D1C63"/>
    <w:rsid w:val="006D2383"/>
    <w:rsid w:val="006D26DD"/>
    <w:rsid w:val="006D2BE4"/>
    <w:rsid w:val="006D3AEC"/>
    <w:rsid w:val="006D3F05"/>
    <w:rsid w:val="006D427E"/>
    <w:rsid w:val="006D4409"/>
    <w:rsid w:val="006D4C63"/>
    <w:rsid w:val="006D5347"/>
    <w:rsid w:val="006D534C"/>
    <w:rsid w:val="006D53C1"/>
    <w:rsid w:val="006D5F33"/>
    <w:rsid w:val="006D69B7"/>
    <w:rsid w:val="006D6BF1"/>
    <w:rsid w:val="006D77ED"/>
    <w:rsid w:val="006D7A2F"/>
    <w:rsid w:val="006D7DF9"/>
    <w:rsid w:val="006E19B4"/>
    <w:rsid w:val="006E1B1E"/>
    <w:rsid w:val="006E22FD"/>
    <w:rsid w:val="006E2C2E"/>
    <w:rsid w:val="006E3C09"/>
    <w:rsid w:val="006E3D6E"/>
    <w:rsid w:val="006E4583"/>
    <w:rsid w:val="006E4F67"/>
    <w:rsid w:val="006E5081"/>
    <w:rsid w:val="006E559E"/>
    <w:rsid w:val="006E6346"/>
    <w:rsid w:val="006E697D"/>
    <w:rsid w:val="006E73A2"/>
    <w:rsid w:val="006E7BEA"/>
    <w:rsid w:val="006F0257"/>
    <w:rsid w:val="006F0499"/>
    <w:rsid w:val="006F07D3"/>
    <w:rsid w:val="006F0D94"/>
    <w:rsid w:val="006F0FF6"/>
    <w:rsid w:val="006F1550"/>
    <w:rsid w:val="006F20C1"/>
    <w:rsid w:val="006F230D"/>
    <w:rsid w:val="006F2A96"/>
    <w:rsid w:val="006F2DFB"/>
    <w:rsid w:val="006F2EEF"/>
    <w:rsid w:val="006F3BF8"/>
    <w:rsid w:val="006F3FE5"/>
    <w:rsid w:val="006F3FFE"/>
    <w:rsid w:val="006F424E"/>
    <w:rsid w:val="006F4948"/>
    <w:rsid w:val="006F4C52"/>
    <w:rsid w:val="006F4E64"/>
    <w:rsid w:val="006F4ED1"/>
    <w:rsid w:val="006F5358"/>
    <w:rsid w:val="006F55F5"/>
    <w:rsid w:val="006F5678"/>
    <w:rsid w:val="006F599D"/>
    <w:rsid w:val="006F6C5F"/>
    <w:rsid w:val="006F757E"/>
    <w:rsid w:val="006F763E"/>
    <w:rsid w:val="006F785D"/>
    <w:rsid w:val="006F7D67"/>
    <w:rsid w:val="007002D4"/>
    <w:rsid w:val="00701308"/>
    <w:rsid w:val="0070186C"/>
    <w:rsid w:val="00701F4B"/>
    <w:rsid w:val="0070240F"/>
    <w:rsid w:val="0070243A"/>
    <w:rsid w:val="00702982"/>
    <w:rsid w:val="00702AA4"/>
    <w:rsid w:val="00702B34"/>
    <w:rsid w:val="00702D37"/>
    <w:rsid w:val="00703518"/>
    <w:rsid w:val="007037CB"/>
    <w:rsid w:val="00703952"/>
    <w:rsid w:val="0070401E"/>
    <w:rsid w:val="0070597E"/>
    <w:rsid w:val="0070649A"/>
    <w:rsid w:val="0070714A"/>
    <w:rsid w:val="00707499"/>
    <w:rsid w:val="00707647"/>
    <w:rsid w:val="00707EF0"/>
    <w:rsid w:val="00710613"/>
    <w:rsid w:val="0071063D"/>
    <w:rsid w:val="00710D62"/>
    <w:rsid w:val="007111D5"/>
    <w:rsid w:val="007122B1"/>
    <w:rsid w:val="007123F1"/>
    <w:rsid w:val="007126C1"/>
    <w:rsid w:val="00712AAD"/>
    <w:rsid w:val="00712D25"/>
    <w:rsid w:val="00713819"/>
    <w:rsid w:val="00714FFB"/>
    <w:rsid w:val="00714FFF"/>
    <w:rsid w:val="007156CD"/>
    <w:rsid w:val="00715A3B"/>
    <w:rsid w:val="00715E04"/>
    <w:rsid w:val="0071639B"/>
    <w:rsid w:val="0071688D"/>
    <w:rsid w:val="00716E7B"/>
    <w:rsid w:val="00717214"/>
    <w:rsid w:val="00717882"/>
    <w:rsid w:val="0071795D"/>
    <w:rsid w:val="00717982"/>
    <w:rsid w:val="00720306"/>
    <w:rsid w:val="007203BF"/>
    <w:rsid w:val="007203D5"/>
    <w:rsid w:val="00721136"/>
    <w:rsid w:val="00721454"/>
    <w:rsid w:val="00721B1C"/>
    <w:rsid w:val="00721E3E"/>
    <w:rsid w:val="00722024"/>
    <w:rsid w:val="00722961"/>
    <w:rsid w:val="007232AC"/>
    <w:rsid w:val="007232C1"/>
    <w:rsid w:val="00723636"/>
    <w:rsid w:val="007238A7"/>
    <w:rsid w:val="00724350"/>
    <w:rsid w:val="0072564C"/>
    <w:rsid w:val="00725930"/>
    <w:rsid w:val="00725941"/>
    <w:rsid w:val="00725BCB"/>
    <w:rsid w:val="007265A9"/>
    <w:rsid w:val="007267D5"/>
    <w:rsid w:val="007268E1"/>
    <w:rsid w:val="00727350"/>
    <w:rsid w:val="00727469"/>
    <w:rsid w:val="0072751D"/>
    <w:rsid w:val="0072773E"/>
    <w:rsid w:val="0073013F"/>
    <w:rsid w:val="007304FC"/>
    <w:rsid w:val="00730D9D"/>
    <w:rsid w:val="00730E68"/>
    <w:rsid w:val="0073161B"/>
    <w:rsid w:val="00731C44"/>
    <w:rsid w:val="00732501"/>
    <w:rsid w:val="007329C0"/>
    <w:rsid w:val="00732D82"/>
    <w:rsid w:val="00732DF4"/>
    <w:rsid w:val="0073335B"/>
    <w:rsid w:val="00733480"/>
    <w:rsid w:val="007335F2"/>
    <w:rsid w:val="00733C83"/>
    <w:rsid w:val="007341FA"/>
    <w:rsid w:val="00734284"/>
    <w:rsid w:val="00734713"/>
    <w:rsid w:val="00734C98"/>
    <w:rsid w:val="00734CA6"/>
    <w:rsid w:val="00735309"/>
    <w:rsid w:val="00735B7D"/>
    <w:rsid w:val="007362F8"/>
    <w:rsid w:val="0073730E"/>
    <w:rsid w:val="007376FF"/>
    <w:rsid w:val="00737A47"/>
    <w:rsid w:val="00737CE5"/>
    <w:rsid w:val="00737CFC"/>
    <w:rsid w:val="00737D58"/>
    <w:rsid w:val="00740126"/>
    <w:rsid w:val="007407BE"/>
    <w:rsid w:val="00740E01"/>
    <w:rsid w:val="0074157B"/>
    <w:rsid w:val="00742763"/>
    <w:rsid w:val="00742BF0"/>
    <w:rsid w:val="00742ED6"/>
    <w:rsid w:val="00743069"/>
    <w:rsid w:val="007436CD"/>
    <w:rsid w:val="00743702"/>
    <w:rsid w:val="00743785"/>
    <w:rsid w:val="00743C11"/>
    <w:rsid w:val="00744A3C"/>
    <w:rsid w:val="00744D71"/>
    <w:rsid w:val="0074529E"/>
    <w:rsid w:val="00745736"/>
    <w:rsid w:val="007459E7"/>
    <w:rsid w:val="00745E3A"/>
    <w:rsid w:val="007460A1"/>
    <w:rsid w:val="007461FD"/>
    <w:rsid w:val="007468D1"/>
    <w:rsid w:val="00746F85"/>
    <w:rsid w:val="00750347"/>
    <w:rsid w:val="00750E24"/>
    <w:rsid w:val="00751D4B"/>
    <w:rsid w:val="00751ED0"/>
    <w:rsid w:val="00751F00"/>
    <w:rsid w:val="00752242"/>
    <w:rsid w:val="00752445"/>
    <w:rsid w:val="007533FF"/>
    <w:rsid w:val="0075352D"/>
    <w:rsid w:val="0075372A"/>
    <w:rsid w:val="00753924"/>
    <w:rsid w:val="007544B8"/>
    <w:rsid w:val="00754B50"/>
    <w:rsid w:val="00754FC9"/>
    <w:rsid w:val="0075660F"/>
    <w:rsid w:val="00756D41"/>
    <w:rsid w:val="00757032"/>
    <w:rsid w:val="00757172"/>
    <w:rsid w:val="00757B02"/>
    <w:rsid w:val="00757B10"/>
    <w:rsid w:val="00757BDD"/>
    <w:rsid w:val="007614C5"/>
    <w:rsid w:val="007619A7"/>
    <w:rsid w:val="00762540"/>
    <w:rsid w:val="007626A6"/>
    <w:rsid w:val="00762B73"/>
    <w:rsid w:val="00762B75"/>
    <w:rsid w:val="00763893"/>
    <w:rsid w:val="00763914"/>
    <w:rsid w:val="00763B71"/>
    <w:rsid w:val="00763F85"/>
    <w:rsid w:val="007640BA"/>
    <w:rsid w:val="00764428"/>
    <w:rsid w:val="00764616"/>
    <w:rsid w:val="00764775"/>
    <w:rsid w:val="00764EF4"/>
    <w:rsid w:val="0076577A"/>
    <w:rsid w:val="007659F8"/>
    <w:rsid w:val="00766225"/>
    <w:rsid w:val="00767AC4"/>
    <w:rsid w:val="00770049"/>
    <w:rsid w:val="00770D67"/>
    <w:rsid w:val="00770F3A"/>
    <w:rsid w:val="0077199C"/>
    <w:rsid w:val="00771F84"/>
    <w:rsid w:val="007721C5"/>
    <w:rsid w:val="00772345"/>
    <w:rsid w:val="00772A9E"/>
    <w:rsid w:val="00772B39"/>
    <w:rsid w:val="00772EF6"/>
    <w:rsid w:val="00773D3E"/>
    <w:rsid w:val="00773FF0"/>
    <w:rsid w:val="007743F0"/>
    <w:rsid w:val="00774F39"/>
    <w:rsid w:val="0077511E"/>
    <w:rsid w:val="00775344"/>
    <w:rsid w:val="00775A60"/>
    <w:rsid w:val="00775C2E"/>
    <w:rsid w:val="007760E2"/>
    <w:rsid w:val="007763F8"/>
    <w:rsid w:val="00776C57"/>
    <w:rsid w:val="007772F2"/>
    <w:rsid w:val="00777324"/>
    <w:rsid w:val="00777548"/>
    <w:rsid w:val="007775AC"/>
    <w:rsid w:val="0077760B"/>
    <w:rsid w:val="0078028B"/>
    <w:rsid w:val="00780558"/>
    <w:rsid w:val="00780985"/>
    <w:rsid w:val="0078142B"/>
    <w:rsid w:val="0078151E"/>
    <w:rsid w:val="007821BA"/>
    <w:rsid w:val="007827C1"/>
    <w:rsid w:val="00783666"/>
    <w:rsid w:val="00783922"/>
    <w:rsid w:val="00783A4B"/>
    <w:rsid w:val="00783AB3"/>
    <w:rsid w:val="00783DE2"/>
    <w:rsid w:val="00783F18"/>
    <w:rsid w:val="00783FBA"/>
    <w:rsid w:val="0078471D"/>
    <w:rsid w:val="0078480A"/>
    <w:rsid w:val="00785DA0"/>
    <w:rsid w:val="00786E57"/>
    <w:rsid w:val="007871A2"/>
    <w:rsid w:val="00787EE1"/>
    <w:rsid w:val="00787F5A"/>
    <w:rsid w:val="00790B31"/>
    <w:rsid w:val="00790BCB"/>
    <w:rsid w:val="00790E78"/>
    <w:rsid w:val="00791818"/>
    <w:rsid w:val="00791A2E"/>
    <w:rsid w:val="00791C1E"/>
    <w:rsid w:val="007921E7"/>
    <w:rsid w:val="00792922"/>
    <w:rsid w:val="00793E95"/>
    <w:rsid w:val="00793F60"/>
    <w:rsid w:val="00794805"/>
    <w:rsid w:val="00794DB8"/>
    <w:rsid w:val="00794E33"/>
    <w:rsid w:val="0079518C"/>
    <w:rsid w:val="00795650"/>
    <w:rsid w:val="00795FB4"/>
    <w:rsid w:val="00795FF4"/>
    <w:rsid w:val="0079613B"/>
    <w:rsid w:val="00796231"/>
    <w:rsid w:val="00796D90"/>
    <w:rsid w:val="00796F01"/>
    <w:rsid w:val="00796FAB"/>
    <w:rsid w:val="0079796B"/>
    <w:rsid w:val="00797B75"/>
    <w:rsid w:val="00797C6E"/>
    <w:rsid w:val="00797D52"/>
    <w:rsid w:val="007A01A4"/>
    <w:rsid w:val="007A09A7"/>
    <w:rsid w:val="007A0BB8"/>
    <w:rsid w:val="007A1434"/>
    <w:rsid w:val="007A348B"/>
    <w:rsid w:val="007A3A47"/>
    <w:rsid w:val="007A3B43"/>
    <w:rsid w:val="007A3F5F"/>
    <w:rsid w:val="007A456A"/>
    <w:rsid w:val="007A4691"/>
    <w:rsid w:val="007A4852"/>
    <w:rsid w:val="007A49C8"/>
    <w:rsid w:val="007A4D95"/>
    <w:rsid w:val="007A4E14"/>
    <w:rsid w:val="007A51F8"/>
    <w:rsid w:val="007A58F4"/>
    <w:rsid w:val="007A5AD1"/>
    <w:rsid w:val="007A5FA4"/>
    <w:rsid w:val="007A61C6"/>
    <w:rsid w:val="007A727E"/>
    <w:rsid w:val="007A7302"/>
    <w:rsid w:val="007A7D13"/>
    <w:rsid w:val="007A7EE3"/>
    <w:rsid w:val="007B01DB"/>
    <w:rsid w:val="007B0CF1"/>
    <w:rsid w:val="007B1073"/>
    <w:rsid w:val="007B1EF9"/>
    <w:rsid w:val="007B2214"/>
    <w:rsid w:val="007B2949"/>
    <w:rsid w:val="007B2F6B"/>
    <w:rsid w:val="007B36E2"/>
    <w:rsid w:val="007B3DC4"/>
    <w:rsid w:val="007B3FA2"/>
    <w:rsid w:val="007B4887"/>
    <w:rsid w:val="007B4970"/>
    <w:rsid w:val="007B4A26"/>
    <w:rsid w:val="007B4D5E"/>
    <w:rsid w:val="007B4E2C"/>
    <w:rsid w:val="007B4F57"/>
    <w:rsid w:val="007B5476"/>
    <w:rsid w:val="007B59B7"/>
    <w:rsid w:val="007B5A67"/>
    <w:rsid w:val="007B6424"/>
    <w:rsid w:val="007B684F"/>
    <w:rsid w:val="007B6964"/>
    <w:rsid w:val="007B7248"/>
    <w:rsid w:val="007B7359"/>
    <w:rsid w:val="007B7B61"/>
    <w:rsid w:val="007B7D1C"/>
    <w:rsid w:val="007B7F75"/>
    <w:rsid w:val="007C002E"/>
    <w:rsid w:val="007C0A25"/>
    <w:rsid w:val="007C0D6F"/>
    <w:rsid w:val="007C0E02"/>
    <w:rsid w:val="007C0FBA"/>
    <w:rsid w:val="007C142B"/>
    <w:rsid w:val="007C199E"/>
    <w:rsid w:val="007C26BE"/>
    <w:rsid w:val="007C2860"/>
    <w:rsid w:val="007C2D39"/>
    <w:rsid w:val="007C3600"/>
    <w:rsid w:val="007C3AD3"/>
    <w:rsid w:val="007C3B4D"/>
    <w:rsid w:val="007C4EF0"/>
    <w:rsid w:val="007C52B5"/>
    <w:rsid w:val="007C53CD"/>
    <w:rsid w:val="007C6B44"/>
    <w:rsid w:val="007C6E98"/>
    <w:rsid w:val="007C706D"/>
    <w:rsid w:val="007C725F"/>
    <w:rsid w:val="007C7B26"/>
    <w:rsid w:val="007C7DE0"/>
    <w:rsid w:val="007C7FB0"/>
    <w:rsid w:val="007D0303"/>
    <w:rsid w:val="007D0355"/>
    <w:rsid w:val="007D13E3"/>
    <w:rsid w:val="007D14B2"/>
    <w:rsid w:val="007D1977"/>
    <w:rsid w:val="007D20F9"/>
    <w:rsid w:val="007D21F3"/>
    <w:rsid w:val="007D2501"/>
    <w:rsid w:val="007D3161"/>
    <w:rsid w:val="007D39F7"/>
    <w:rsid w:val="007D4066"/>
    <w:rsid w:val="007D445D"/>
    <w:rsid w:val="007D4AEF"/>
    <w:rsid w:val="007D5497"/>
    <w:rsid w:val="007D5566"/>
    <w:rsid w:val="007D5ADD"/>
    <w:rsid w:val="007D6606"/>
    <w:rsid w:val="007D6653"/>
    <w:rsid w:val="007D792B"/>
    <w:rsid w:val="007D7D6A"/>
    <w:rsid w:val="007E009F"/>
    <w:rsid w:val="007E0417"/>
    <w:rsid w:val="007E0680"/>
    <w:rsid w:val="007E0D7C"/>
    <w:rsid w:val="007E1DB9"/>
    <w:rsid w:val="007E1DED"/>
    <w:rsid w:val="007E2D95"/>
    <w:rsid w:val="007E35BD"/>
    <w:rsid w:val="007E4579"/>
    <w:rsid w:val="007E4BEA"/>
    <w:rsid w:val="007E5ACE"/>
    <w:rsid w:val="007E6572"/>
    <w:rsid w:val="007E6EC1"/>
    <w:rsid w:val="007E6ECA"/>
    <w:rsid w:val="007E70F0"/>
    <w:rsid w:val="007E7226"/>
    <w:rsid w:val="007E7364"/>
    <w:rsid w:val="007E73C4"/>
    <w:rsid w:val="007F02C2"/>
    <w:rsid w:val="007F0C7B"/>
    <w:rsid w:val="007F12D0"/>
    <w:rsid w:val="007F13E7"/>
    <w:rsid w:val="007F15D0"/>
    <w:rsid w:val="007F15EA"/>
    <w:rsid w:val="007F1879"/>
    <w:rsid w:val="007F197F"/>
    <w:rsid w:val="007F204C"/>
    <w:rsid w:val="007F20C6"/>
    <w:rsid w:val="007F25FC"/>
    <w:rsid w:val="007F29B5"/>
    <w:rsid w:val="007F29DA"/>
    <w:rsid w:val="007F2EFA"/>
    <w:rsid w:val="007F2F85"/>
    <w:rsid w:val="007F3276"/>
    <w:rsid w:val="007F4868"/>
    <w:rsid w:val="007F4A04"/>
    <w:rsid w:val="007F4DD6"/>
    <w:rsid w:val="007F4EA8"/>
    <w:rsid w:val="007F4F6D"/>
    <w:rsid w:val="007F56B8"/>
    <w:rsid w:val="007F595E"/>
    <w:rsid w:val="007F6416"/>
    <w:rsid w:val="007F6772"/>
    <w:rsid w:val="007F70DB"/>
    <w:rsid w:val="007F7EB8"/>
    <w:rsid w:val="008002F7"/>
    <w:rsid w:val="00800F16"/>
    <w:rsid w:val="00800F7D"/>
    <w:rsid w:val="0080141A"/>
    <w:rsid w:val="008018BB"/>
    <w:rsid w:val="00801A1D"/>
    <w:rsid w:val="00801E5D"/>
    <w:rsid w:val="008029D4"/>
    <w:rsid w:val="00802DF3"/>
    <w:rsid w:val="0080353F"/>
    <w:rsid w:val="00803664"/>
    <w:rsid w:val="00803B48"/>
    <w:rsid w:val="00804790"/>
    <w:rsid w:val="008047B6"/>
    <w:rsid w:val="00804DAA"/>
    <w:rsid w:val="00804DFB"/>
    <w:rsid w:val="00804E3B"/>
    <w:rsid w:val="0080511B"/>
    <w:rsid w:val="0080570D"/>
    <w:rsid w:val="00805B31"/>
    <w:rsid w:val="008062F2"/>
    <w:rsid w:val="0080655C"/>
    <w:rsid w:val="00806678"/>
    <w:rsid w:val="0080680C"/>
    <w:rsid w:val="00806F20"/>
    <w:rsid w:val="0080715E"/>
    <w:rsid w:val="0080776A"/>
    <w:rsid w:val="008100B8"/>
    <w:rsid w:val="0081041D"/>
    <w:rsid w:val="008104AD"/>
    <w:rsid w:val="0081062F"/>
    <w:rsid w:val="008115BC"/>
    <w:rsid w:val="008129A1"/>
    <w:rsid w:val="00812C1D"/>
    <w:rsid w:val="0081360D"/>
    <w:rsid w:val="0081682F"/>
    <w:rsid w:val="00816837"/>
    <w:rsid w:val="008168E6"/>
    <w:rsid w:val="00816C08"/>
    <w:rsid w:val="00817312"/>
    <w:rsid w:val="00817653"/>
    <w:rsid w:val="008202D5"/>
    <w:rsid w:val="008208FB"/>
    <w:rsid w:val="00820B16"/>
    <w:rsid w:val="00820CA5"/>
    <w:rsid w:val="00820DAA"/>
    <w:rsid w:val="008218BC"/>
    <w:rsid w:val="00821904"/>
    <w:rsid w:val="00821C54"/>
    <w:rsid w:val="00822240"/>
    <w:rsid w:val="008224E4"/>
    <w:rsid w:val="0082272B"/>
    <w:rsid w:val="00822A44"/>
    <w:rsid w:val="00822FE1"/>
    <w:rsid w:val="0082306C"/>
    <w:rsid w:val="00823088"/>
    <w:rsid w:val="008232B9"/>
    <w:rsid w:val="0082368D"/>
    <w:rsid w:val="008252BC"/>
    <w:rsid w:val="0082547C"/>
    <w:rsid w:val="00825A82"/>
    <w:rsid w:val="00825D95"/>
    <w:rsid w:val="0082628C"/>
    <w:rsid w:val="00826379"/>
    <w:rsid w:val="008267BC"/>
    <w:rsid w:val="00826862"/>
    <w:rsid w:val="00826ABC"/>
    <w:rsid w:val="00826B98"/>
    <w:rsid w:val="00826C63"/>
    <w:rsid w:val="00826F82"/>
    <w:rsid w:val="00827192"/>
    <w:rsid w:val="0082731D"/>
    <w:rsid w:val="0082753F"/>
    <w:rsid w:val="00830096"/>
    <w:rsid w:val="00830C03"/>
    <w:rsid w:val="0083112C"/>
    <w:rsid w:val="008311C2"/>
    <w:rsid w:val="00831F0C"/>
    <w:rsid w:val="00832916"/>
    <w:rsid w:val="00832B0C"/>
    <w:rsid w:val="00832CE8"/>
    <w:rsid w:val="00832DF7"/>
    <w:rsid w:val="0083300C"/>
    <w:rsid w:val="00833157"/>
    <w:rsid w:val="008337DE"/>
    <w:rsid w:val="00834662"/>
    <w:rsid w:val="00834EB6"/>
    <w:rsid w:val="00835330"/>
    <w:rsid w:val="008355F2"/>
    <w:rsid w:val="0083584A"/>
    <w:rsid w:val="00835B0F"/>
    <w:rsid w:val="00836000"/>
    <w:rsid w:val="00837496"/>
    <w:rsid w:val="00837677"/>
    <w:rsid w:val="00840378"/>
    <w:rsid w:val="008405D5"/>
    <w:rsid w:val="00840969"/>
    <w:rsid w:val="00841427"/>
    <w:rsid w:val="008423B7"/>
    <w:rsid w:val="00842505"/>
    <w:rsid w:val="0084280A"/>
    <w:rsid w:val="008429F7"/>
    <w:rsid w:val="00842B7A"/>
    <w:rsid w:val="00842EDE"/>
    <w:rsid w:val="00843E11"/>
    <w:rsid w:val="00843F38"/>
    <w:rsid w:val="00844F27"/>
    <w:rsid w:val="00845182"/>
    <w:rsid w:val="0084536B"/>
    <w:rsid w:val="008458A7"/>
    <w:rsid w:val="00845D31"/>
    <w:rsid w:val="00846031"/>
    <w:rsid w:val="0084613C"/>
    <w:rsid w:val="0084656F"/>
    <w:rsid w:val="008469CF"/>
    <w:rsid w:val="00846DEE"/>
    <w:rsid w:val="00847081"/>
    <w:rsid w:val="0084722A"/>
    <w:rsid w:val="00847495"/>
    <w:rsid w:val="008501E2"/>
    <w:rsid w:val="00850A97"/>
    <w:rsid w:val="00850C86"/>
    <w:rsid w:val="00851257"/>
    <w:rsid w:val="00851403"/>
    <w:rsid w:val="00851BEE"/>
    <w:rsid w:val="00851E83"/>
    <w:rsid w:val="00852A93"/>
    <w:rsid w:val="00852B3B"/>
    <w:rsid w:val="00852CB5"/>
    <w:rsid w:val="008530AC"/>
    <w:rsid w:val="008535C4"/>
    <w:rsid w:val="00854539"/>
    <w:rsid w:val="0085476F"/>
    <w:rsid w:val="00854C97"/>
    <w:rsid w:val="00854E7F"/>
    <w:rsid w:val="00855F48"/>
    <w:rsid w:val="00856A58"/>
    <w:rsid w:val="00856AFB"/>
    <w:rsid w:val="008572F1"/>
    <w:rsid w:val="00857894"/>
    <w:rsid w:val="0085794C"/>
    <w:rsid w:val="00857E11"/>
    <w:rsid w:val="0086009C"/>
    <w:rsid w:val="00860BCF"/>
    <w:rsid w:val="00861B35"/>
    <w:rsid w:val="008627B3"/>
    <w:rsid w:val="008627F3"/>
    <w:rsid w:val="00862830"/>
    <w:rsid w:val="008634DD"/>
    <w:rsid w:val="008640B3"/>
    <w:rsid w:val="008640B9"/>
    <w:rsid w:val="008641F8"/>
    <w:rsid w:val="00864880"/>
    <w:rsid w:val="00864EEB"/>
    <w:rsid w:val="00864F13"/>
    <w:rsid w:val="00865140"/>
    <w:rsid w:val="00865815"/>
    <w:rsid w:val="008666F0"/>
    <w:rsid w:val="00867118"/>
    <w:rsid w:val="008675E3"/>
    <w:rsid w:val="008678BE"/>
    <w:rsid w:val="0087072F"/>
    <w:rsid w:val="00871209"/>
    <w:rsid w:val="00871613"/>
    <w:rsid w:val="00871BAA"/>
    <w:rsid w:val="00871CAE"/>
    <w:rsid w:val="00872028"/>
    <w:rsid w:val="008727CB"/>
    <w:rsid w:val="00872ECB"/>
    <w:rsid w:val="008731E9"/>
    <w:rsid w:val="0087332F"/>
    <w:rsid w:val="0087366A"/>
    <w:rsid w:val="00873960"/>
    <w:rsid w:val="008742F9"/>
    <w:rsid w:val="00874685"/>
    <w:rsid w:val="008747C4"/>
    <w:rsid w:val="00874FD8"/>
    <w:rsid w:val="00875934"/>
    <w:rsid w:val="00876675"/>
    <w:rsid w:val="008768CF"/>
    <w:rsid w:val="00876C8D"/>
    <w:rsid w:val="00876F0C"/>
    <w:rsid w:val="00876F0E"/>
    <w:rsid w:val="00877353"/>
    <w:rsid w:val="00877702"/>
    <w:rsid w:val="00877707"/>
    <w:rsid w:val="0088005D"/>
    <w:rsid w:val="00880389"/>
    <w:rsid w:val="00880545"/>
    <w:rsid w:val="0088082E"/>
    <w:rsid w:val="008808CE"/>
    <w:rsid w:val="00881306"/>
    <w:rsid w:val="00881F85"/>
    <w:rsid w:val="0088204B"/>
    <w:rsid w:val="008824EB"/>
    <w:rsid w:val="008824F0"/>
    <w:rsid w:val="00882C87"/>
    <w:rsid w:val="008835D8"/>
    <w:rsid w:val="00884713"/>
    <w:rsid w:val="00884906"/>
    <w:rsid w:val="00884DEA"/>
    <w:rsid w:val="00885237"/>
    <w:rsid w:val="00885E92"/>
    <w:rsid w:val="0088607C"/>
    <w:rsid w:val="008862DD"/>
    <w:rsid w:val="00886563"/>
    <w:rsid w:val="00886C8B"/>
    <w:rsid w:val="00890354"/>
    <w:rsid w:val="008906F8"/>
    <w:rsid w:val="008912B3"/>
    <w:rsid w:val="00891EFB"/>
    <w:rsid w:val="00892413"/>
    <w:rsid w:val="00892678"/>
    <w:rsid w:val="00892877"/>
    <w:rsid w:val="00892FDE"/>
    <w:rsid w:val="00893030"/>
    <w:rsid w:val="008930CE"/>
    <w:rsid w:val="00893484"/>
    <w:rsid w:val="00893948"/>
    <w:rsid w:val="00893BF6"/>
    <w:rsid w:val="00893EA3"/>
    <w:rsid w:val="00893FE1"/>
    <w:rsid w:val="00894374"/>
    <w:rsid w:val="008943AF"/>
    <w:rsid w:val="00895315"/>
    <w:rsid w:val="0089531D"/>
    <w:rsid w:val="008957EB"/>
    <w:rsid w:val="00896762"/>
    <w:rsid w:val="00896817"/>
    <w:rsid w:val="00896960"/>
    <w:rsid w:val="00896CC9"/>
    <w:rsid w:val="0089769E"/>
    <w:rsid w:val="00897B8B"/>
    <w:rsid w:val="008A0624"/>
    <w:rsid w:val="008A094A"/>
    <w:rsid w:val="008A0F0D"/>
    <w:rsid w:val="008A0FAD"/>
    <w:rsid w:val="008A1379"/>
    <w:rsid w:val="008A1E97"/>
    <w:rsid w:val="008A210A"/>
    <w:rsid w:val="008A28BC"/>
    <w:rsid w:val="008A2A67"/>
    <w:rsid w:val="008A2C50"/>
    <w:rsid w:val="008A2C74"/>
    <w:rsid w:val="008A312B"/>
    <w:rsid w:val="008A3630"/>
    <w:rsid w:val="008A3B61"/>
    <w:rsid w:val="008A3D39"/>
    <w:rsid w:val="008A3DE3"/>
    <w:rsid w:val="008A3DF4"/>
    <w:rsid w:val="008A41E4"/>
    <w:rsid w:val="008A4F0F"/>
    <w:rsid w:val="008A53F1"/>
    <w:rsid w:val="008A68D5"/>
    <w:rsid w:val="008A69CC"/>
    <w:rsid w:val="008A6A36"/>
    <w:rsid w:val="008A728E"/>
    <w:rsid w:val="008A732A"/>
    <w:rsid w:val="008A793C"/>
    <w:rsid w:val="008B0027"/>
    <w:rsid w:val="008B1270"/>
    <w:rsid w:val="008B16FB"/>
    <w:rsid w:val="008B2CC5"/>
    <w:rsid w:val="008B3FFE"/>
    <w:rsid w:val="008B42B3"/>
    <w:rsid w:val="008B42DF"/>
    <w:rsid w:val="008B45CB"/>
    <w:rsid w:val="008B46C3"/>
    <w:rsid w:val="008B4A00"/>
    <w:rsid w:val="008B4F00"/>
    <w:rsid w:val="008B5AD2"/>
    <w:rsid w:val="008B5B58"/>
    <w:rsid w:val="008B5DF4"/>
    <w:rsid w:val="008B5E03"/>
    <w:rsid w:val="008B63F7"/>
    <w:rsid w:val="008B66F1"/>
    <w:rsid w:val="008B6A66"/>
    <w:rsid w:val="008B6D58"/>
    <w:rsid w:val="008B6F22"/>
    <w:rsid w:val="008B6F8A"/>
    <w:rsid w:val="008B705C"/>
    <w:rsid w:val="008B793F"/>
    <w:rsid w:val="008C053A"/>
    <w:rsid w:val="008C0CEF"/>
    <w:rsid w:val="008C1028"/>
    <w:rsid w:val="008C1680"/>
    <w:rsid w:val="008C1976"/>
    <w:rsid w:val="008C1CBD"/>
    <w:rsid w:val="008C220B"/>
    <w:rsid w:val="008C25E8"/>
    <w:rsid w:val="008C2813"/>
    <w:rsid w:val="008C2EEC"/>
    <w:rsid w:val="008C36FF"/>
    <w:rsid w:val="008C40FA"/>
    <w:rsid w:val="008C4119"/>
    <w:rsid w:val="008C46E2"/>
    <w:rsid w:val="008C4783"/>
    <w:rsid w:val="008C4F99"/>
    <w:rsid w:val="008C56C1"/>
    <w:rsid w:val="008C5712"/>
    <w:rsid w:val="008C58E2"/>
    <w:rsid w:val="008C5A7B"/>
    <w:rsid w:val="008C65A2"/>
    <w:rsid w:val="008C66EF"/>
    <w:rsid w:val="008C68AA"/>
    <w:rsid w:val="008C6F1D"/>
    <w:rsid w:val="008C720E"/>
    <w:rsid w:val="008C7334"/>
    <w:rsid w:val="008C74FE"/>
    <w:rsid w:val="008C7B67"/>
    <w:rsid w:val="008C7F9E"/>
    <w:rsid w:val="008C7FDD"/>
    <w:rsid w:val="008D000E"/>
    <w:rsid w:val="008D0154"/>
    <w:rsid w:val="008D025F"/>
    <w:rsid w:val="008D041B"/>
    <w:rsid w:val="008D0CCE"/>
    <w:rsid w:val="008D2120"/>
    <w:rsid w:val="008D24D7"/>
    <w:rsid w:val="008D2ABC"/>
    <w:rsid w:val="008D35E7"/>
    <w:rsid w:val="008D367A"/>
    <w:rsid w:val="008D3810"/>
    <w:rsid w:val="008D38E3"/>
    <w:rsid w:val="008D3A0D"/>
    <w:rsid w:val="008D3BAA"/>
    <w:rsid w:val="008D3D92"/>
    <w:rsid w:val="008D40F5"/>
    <w:rsid w:val="008D41BD"/>
    <w:rsid w:val="008D428D"/>
    <w:rsid w:val="008D4679"/>
    <w:rsid w:val="008D53B9"/>
    <w:rsid w:val="008D54CF"/>
    <w:rsid w:val="008D5BD6"/>
    <w:rsid w:val="008D6330"/>
    <w:rsid w:val="008D694F"/>
    <w:rsid w:val="008D6B83"/>
    <w:rsid w:val="008D6ECE"/>
    <w:rsid w:val="008D7C02"/>
    <w:rsid w:val="008D7C56"/>
    <w:rsid w:val="008E04B0"/>
    <w:rsid w:val="008E0AD8"/>
    <w:rsid w:val="008E0B20"/>
    <w:rsid w:val="008E15D2"/>
    <w:rsid w:val="008E18B7"/>
    <w:rsid w:val="008E19E7"/>
    <w:rsid w:val="008E2296"/>
    <w:rsid w:val="008E23F6"/>
    <w:rsid w:val="008E307C"/>
    <w:rsid w:val="008E340C"/>
    <w:rsid w:val="008E364F"/>
    <w:rsid w:val="008E36E2"/>
    <w:rsid w:val="008E39D2"/>
    <w:rsid w:val="008E3A18"/>
    <w:rsid w:val="008E3CC2"/>
    <w:rsid w:val="008E4167"/>
    <w:rsid w:val="008E534E"/>
    <w:rsid w:val="008E5DE3"/>
    <w:rsid w:val="008E67E5"/>
    <w:rsid w:val="008E71CC"/>
    <w:rsid w:val="008E7246"/>
    <w:rsid w:val="008E7FC6"/>
    <w:rsid w:val="008F062C"/>
    <w:rsid w:val="008F0899"/>
    <w:rsid w:val="008F1154"/>
    <w:rsid w:val="008F16A1"/>
    <w:rsid w:val="008F1BE2"/>
    <w:rsid w:val="008F2237"/>
    <w:rsid w:val="008F23A6"/>
    <w:rsid w:val="008F268F"/>
    <w:rsid w:val="008F27AA"/>
    <w:rsid w:val="008F3427"/>
    <w:rsid w:val="008F37E2"/>
    <w:rsid w:val="008F3AD0"/>
    <w:rsid w:val="008F3B29"/>
    <w:rsid w:val="008F3F34"/>
    <w:rsid w:val="008F4E26"/>
    <w:rsid w:val="008F733A"/>
    <w:rsid w:val="008F7C65"/>
    <w:rsid w:val="008F7CDD"/>
    <w:rsid w:val="008F7F67"/>
    <w:rsid w:val="0090041B"/>
    <w:rsid w:val="009012E4"/>
    <w:rsid w:val="00901891"/>
    <w:rsid w:val="00901AA9"/>
    <w:rsid w:val="00901D32"/>
    <w:rsid w:val="009026E3"/>
    <w:rsid w:val="00902850"/>
    <w:rsid w:val="00902CC9"/>
    <w:rsid w:val="00902F23"/>
    <w:rsid w:val="0090319B"/>
    <w:rsid w:val="00903457"/>
    <w:rsid w:val="009039B3"/>
    <w:rsid w:val="009040E2"/>
    <w:rsid w:val="00904498"/>
    <w:rsid w:val="0090476A"/>
    <w:rsid w:val="0090484B"/>
    <w:rsid w:val="0090512C"/>
    <w:rsid w:val="0090579F"/>
    <w:rsid w:val="00906E93"/>
    <w:rsid w:val="00907289"/>
    <w:rsid w:val="00907359"/>
    <w:rsid w:val="00907AF1"/>
    <w:rsid w:val="00907ED4"/>
    <w:rsid w:val="009102B8"/>
    <w:rsid w:val="009105D8"/>
    <w:rsid w:val="00910A50"/>
    <w:rsid w:val="00911EAD"/>
    <w:rsid w:val="009120BD"/>
    <w:rsid w:val="00912A1E"/>
    <w:rsid w:val="00912D58"/>
    <w:rsid w:val="00912DB8"/>
    <w:rsid w:val="00912EAB"/>
    <w:rsid w:val="009134F9"/>
    <w:rsid w:val="009137C8"/>
    <w:rsid w:val="00914219"/>
    <w:rsid w:val="0091434F"/>
    <w:rsid w:val="00914580"/>
    <w:rsid w:val="009147B7"/>
    <w:rsid w:val="00915116"/>
    <w:rsid w:val="00915201"/>
    <w:rsid w:val="00915394"/>
    <w:rsid w:val="00915EFB"/>
    <w:rsid w:val="009166D8"/>
    <w:rsid w:val="009166E8"/>
    <w:rsid w:val="00916822"/>
    <w:rsid w:val="00916EEE"/>
    <w:rsid w:val="00916F57"/>
    <w:rsid w:val="009206D5"/>
    <w:rsid w:val="009208EE"/>
    <w:rsid w:val="009210AC"/>
    <w:rsid w:val="009213ED"/>
    <w:rsid w:val="0092160E"/>
    <w:rsid w:val="00921C48"/>
    <w:rsid w:val="00922170"/>
    <w:rsid w:val="009221E8"/>
    <w:rsid w:val="00922B5A"/>
    <w:rsid w:val="00923141"/>
    <w:rsid w:val="0092340D"/>
    <w:rsid w:val="00924BAA"/>
    <w:rsid w:val="00925B7C"/>
    <w:rsid w:val="00925BD1"/>
    <w:rsid w:val="00926018"/>
    <w:rsid w:val="009262A3"/>
    <w:rsid w:val="00926658"/>
    <w:rsid w:val="00926DAB"/>
    <w:rsid w:val="00926EA7"/>
    <w:rsid w:val="00926FEA"/>
    <w:rsid w:val="00927170"/>
    <w:rsid w:val="009271F4"/>
    <w:rsid w:val="00927DB5"/>
    <w:rsid w:val="00927DDD"/>
    <w:rsid w:val="00927E5B"/>
    <w:rsid w:val="00930159"/>
    <w:rsid w:val="00930702"/>
    <w:rsid w:val="00930B6B"/>
    <w:rsid w:val="00930DC1"/>
    <w:rsid w:val="00930FC7"/>
    <w:rsid w:val="00931792"/>
    <w:rsid w:val="009319DB"/>
    <w:rsid w:val="00931A0E"/>
    <w:rsid w:val="00931F27"/>
    <w:rsid w:val="00932E82"/>
    <w:rsid w:val="00933A45"/>
    <w:rsid w:val="0093404F"/>
    <w:rsid w:val="009348C6"/>
    <w:rsid w:val="00934CF3"/>
    <w:rsid w:val="009351BF"/>
    <w:rsid w:val="009354E4"/>
    <w:rsid w:val="00935615"/>
    <w:rsid w:val="00935795"/>
    <w:rsid w:val="009357B5"/>
    <w:rsid w:val="00935F4C"/>
    <w:rsid w:val="00936ACC"/>
    <w:rsid w:val="009370B0"/>
    <w:rsid w:val="00937886"/>
    <w:rsid w:val="00937E2D"/>
    <w:rsid w:val="00937F6F"/>
    <w:rsid w:val="009400B8"/>
    <w:rsid w:val="009406B0"/>
    <w:rsid w:val="00940C67"/>
    <w:rsid w:val="00940E85"/>
    <w:rsid w:val="0094125D"/>
    <w:rsid w:val="00941A69"/>
    <w:rsid w:val="00941ABB"/>
    <w:rsid w:val="00941AC4"/>
    <w:rsid w:val="00941DA1"/>
    <w:rsid w:val="009430DF"/>
    <w:rsid w:val="0094323F"/>
    <w:rsid w:val="00944295"/>
    <w:rsid w:val="00944669"/>
    <w:rsid w:val="00944BC7"/>
    <w:rsid w:val="00944EDB"/>
    <w:rsid w:val="0094516B"/>
    <w:rsid w:val="00945260"/>
    <w:rsid w:val="009456D1"/>
    <w:rsid w:val="00945B80"/>
    <w:rsid w:val="009468AB"/>
    <w:rsid w:val="00946F06"/>
    <w:rsid w:val="00947008"/>
    <w:rsid w:val="0094714A"/>
    <w:rsid w:val="009471AD"/>
    <w:rsid w:val="009471AE"/>
    <w:rsid w:val="00947ABE"/>
    <w:rsid w:val="009501BF"/>
    <w:rsid w:val="0095043B"/>
    <w:rsid w:val="0095049C"/>
    <w:rsid w:val="00950B45"/>
    <w:rsid w:val="00951267"/>
    <w:rsid w:val="00951506"/>
    <w:rsid w:val="00951738"/>
    <w:rsid w:val="00951C50"/>
    <w:rsid w:val="00952BAC"/>
    <w:rsid w:val="00952F99"/>
    <w:rsid w:val="00954707"/>
    <w:rsid w:val="009549AA"/>
    <w:rsid w:val="00954F26"/>
    <w:rsid w:val="009554F0"/>
    <w:rsid w:val="00955852"/>
    <w:rsid w:val="00955F62"/>
    <w:rsid w:val="00955F9B"/>
    <w:rsid w:val="00956279"/>
    <w:rsid w:val="00956579"/>
    <w:rsid w:val="00956C54"/>
    <w:rsid w:val="00957AAE"/>
    <w:rsid w:val="00957B96"/>
    <w:rsid w:val="0096017B"/>
    <w:rsid w:val="0096025D"/>
    <w:rsid w:val="00960CE4"/>
    <w:rsid w:val="00961381"/>
    <w:rsid w:val="00961841"/>
    <w:rsid w:val="00961EDA"/>
    <w:rsid w:val="009620BA"/>
    <w:rsid w:val="00962101"/>
    <w:rsid w:val="00962976"/>
    <w:rsid w:val="00962BBD"/>
    <w:rsid w:val="00962C45"/>
    <w:rsid w:val="0096333D"/>
    <w:rsid w:val="0096365C"/>
    <w:rsid w:val="00963976"/>
    <w:rsid w:val="00963B03"/>
    <w:rsid w:val="00963DA6"/>
    <w:rsid w:val="00964418"/>
    <w:rsid w:val="0096448E"/>
    <w:rsid w:val="00965252"/>
    <w:rsid w:val="009654BE"/>
    <w:rsid w:val="00965C5B"/>
    <w:rsid w:val="00965FEE"/>
    <w:rsid w:val="009664F8"/>
    <w:rsid w:val="0096659D"/>
    <w:rsid w:val="00966D36"/>
    <w:rsid w:val="00966E52"/>
    <w:rsid w:val="00966ED9"/>
    <w:rsid w:val="00967626"/>
    <w:rsid w:val="00967E76"/>
    <w:rsid w:val="00970272"/>
    <w:rsid w:val="00970701"/>
    <w:rsid w:val="00970710"/>
    <w:rsid w:val="00971941"/>
    <w:rsid w:val="00971F23"/>
    <w:rsid w:val="009725F2"/>
    <w:rsid w:val="009726C1"/>
    <w:rsid w:val="0097310A"/>
    <w:rsid w:val="00973751"/>
    <w:rsid w:val="00974527"/>
    <w:rsid w:val="0097563F"/>
    <w:rsid w:val="009758D4"/>
    <w:rsid w:val="00975C00"/>
    <w:rsid w:val="00976158"/>
    <w:rsid w:val="00976696"/>
    <w:rsid w:val="00976D3F"/>
    <w:rsid w:val="0097715A"/>
    <w:rsid w:val="0097776B"/>
    <w:rsid w:val="00977939"/>
    <w:rsid w:val="00977D17"/>
    <w:rsid w:val="0098040B"/>
    <w:rsid w:val="009806C2"/>
    <w:rsid w:val="0098084A"/>
    <w:rsid w:val="00980B77"/>
    <w:rsid w:val="00981A61"/>
    <w:rsid w:val="00982120"/>
    <w:rsid w:val="00982945"/>
    <w:rsid w:val="00982971"/>
    <w:rsid w:val="00983543"/>
    <w:rsid w:val="00983B09"/>
    <w:rsid w:val="009840D5"/>
    <w:rsid w:val="00984554"/>
    <w:rsid w:val="00984949"/>
    <w:rsid w:val="00984999"/>
    <w:rsid w:val="009856AD"/>
    <w:rsid w:val="00985ADD"/>
    <w:rsid w:val="00985CAC"/>
    <w:rsid w:val="00985E56"/>
    <w:rsid w:val="009868CB"/>
    <w:rsid w:val="00987092"/>
    <w:rsid w:val="009874D9"/>
    <w:rsid w:val="009878BF"/>
    <w:rsid w:val="009879B2"/>
    <w:rsid w:val="00987E76"/>
    <w:rsid w:val="00991983"/>
    <w:rsid w:val="009919DA"/>
    <w:rsid w:val="009922AF"/>
    <w:rsid w:val="0099236F"/>
    <w:rsid w:val="0099284D"/>
    <w:rsid w:val="00992A6E"/>
    <w:rsid w:val="00992B0C"/>
    <w:rsid w:val="00992F81"/>
    <w:rsid w:val="009942AC"/>
    <w:rsid w:val="0099445F"/>
    <w:rsid w:val="00995278"/>
    <w:rsid w:val="009952E2"/>
    <w:rsid w:val="00995CC8"/>
    <w:rsid w:val="00996114"/>
    <w:rsid w:val="00996421"/>
    <w:rsid w:val="009968AF"/>
    <w:rsid w:val="0099718F"/>
    <w:rsid w:val="00997482"/>
    <w:rsid w:val="00997D02"/>
    <w:rsid w:val="009A122F"/>
    <w:rsid w:val="009A1462"/>
    <w:rsid w:val="009A2236"/>
    <w:rsid w:val="009A22A8"/>
    <w:rsid w:val="009A2712"/>
    <w:rsid w:val="009A277E"/>
    <w:rsid w:val="009A2899"/>
    <w:rsid w:val="009A2FE7"/>
    <w:rsid w:val="009A32A6"/>
    <w:rsid w:val="009A39CA"/>
    <w:rsid w:val="009A3D90"/>
    <w:rsid w:val="009A40EA"/>
    <w:rsid w:val="009A430E"/>
    <w:rsid w:val="009A454F"/>
    <w:rsid w:val="009A46CF"/>
    <w:rsid w:val="009A46E9"/>
    <w:rsid w:val="009A491F"/>
    <w:rsid w:val="009A4EB4"/>
    <w:rsid w:val="009A5406"/>
    <w:rsid w:val="009A587D"/>
    <w:rsid w:val="009A58CA"/>
    <w:rsid w:val="009A6712"/>
    <w:rsid w:val="009A68BA"/>
    <w:rsid w:val="009A6D0A"/>
    <w:rsid w:val="009A6DD0"/>
    <w:rsid w:val="009A73CC"/>
    <w:rsid w:val="009A7404"/>
    <w:rsid w:val="009B07D5"/>
    <w:rsid w:val="009B099A"/>
    <w:rsid w:val="009B142E"/>
    <w:rsid w:val="009B18E6"/>
    <w:rsid w:val="009B194E"/>
    <w:rsid w:val="009B20C4"/>
    <w:rsid w:val="009B2341"/>
    <w:rsid w:val="009B265A"/>
    <w:rsid w:val="009B2685"/>
    <w:rsid w:val="009B26D5"/>
    <w:rsid w:val="009B2719"/>
    <w:rsid w:val="009B2B8E"/>
    <w:rsid w:val="009B3C7A"/>
    <w:rsid w:val="009B3F1F"/>
    <w:rsid w:val="009B3FFE"/>
    <w:rsid w:val="009B453C"/>
    <w:rsid w:val="009B47F1"/>
    <w:rsid w:val="009B51D2"/>
    <w:rsid w:val="009B5722"/>
    <w:rsid w:val="009B5839"/>
    <w:rsid w:val="009B5865"/>
    <w:rsid w:val="009B594D"/>
    <w:rsid w:val="009B5CC1"/>
    <w:rsid w:val="009B5EA8"/>
    <w:rsid w:val="009B5F9E"/>
    <w:rsid w:val="009B6057"/>
    <w:rsid w:val="009B614C"/>
    <w:rsid w:val="009B63CC"/>
    <w:rsid w:val="009B6EF7"/>
    <w:rsid w:val="009B7A22"/>
    <w:rsid w:val="009B7C42"/>
    <w:rsid w:val="009C000F"/>
    <w:rsid w:val="009C055E"/>
    <w:rsid w:val="009C0C3A"/>
    <w:rsid w:val="009C1074"/>
    <w:rsid w:val="009C1413"/>
    <w:rsid w:val="009C1DEA"/>
    <w:rsid w:val="009C1EA7"/>
    <w:rsid w:val="009C2195"/>
    <w:rsid w:val="009C26AF"/>
    <w:rsid w:val="009C2787"/>
    <w:rsid w:val="009C3567"/>
    <w:rsid w:val="009C391B"/>
    <w:rsid w:val="009C3DA0"/>
    <w:rsid w:val="009C4362"/>
    <w:rsid w:val="009C504C"/>
    <w:rsid w:val="009C5193"/>
    <w:rsid w:val="009C5CFA"/>
    <w:rsid w:val="009C609A"/>
    <w:rsid w:val="009C6B4B"/>
    <w:rsid w:val="009C6C41"/>
    <w:rsid w:val="009C6D32"/>
    <w:rsid w:val="009C70D9"/>
    <w:rsid w:val="009C72FB"/>
    <w:rsid w:val="009C7476"/>
    <w:rsid w:val="009C7A48"/>
    <w:rsid w:val="009D05A1"/>
    <w:rsid w:val="009D077E"/>
    <w:rsid w:val="009D090F"/>
    <w:rsid w:val="009D0C35"/>
    <w:rsid w:val="009D1742"/>
    <w:rsid w:val="009D188A"/>
    <w:rsid w:val="009D25CE"/>
    <w:rsid w:val="009D286B"/>
    <w:rsid w:val="009D2B1E"/>
    <w:rsid w:val="009D3360"/>
    <w:rsid w:val="009D3828"/>
    <w:rsid w:val="009D3D19"/>
    <w:rsid w:val="009D3E92"/>
    <w:rsid w:val="009D4B71"/>
    <w:rsid w:val="009D56B7"/>
    <w:rsid w:val="009D5914"/>
    <w:rsid w:val="009D5FF4"/>
    <w:rsid w:val="009D6094"/>
    <w:rsid w:val="009D60CC"/>
    <w:rsid w:val="009D6B00"/>
    <w:rsid w:val="009D777F"/>
    <w:rsid w:val="009D7991"/>
    <w:rsid w:val="009E03AB"/>
    <w:rsid w:val="009E0455"/>
    <w:rsid w:val="009E0F79"/>
    <w:rsid w:val="009E0FFD"/>
    <w:rsid w:val="009E18C7"/>
    <w:rsid w:val="009E20CA"/>
    <w:rsid w:val="009E27A0"/>
    <w:rsid w:val="009E3040"/>
    <w:rsid w:val="009E3312"/>
    <w:rsid w:val="009E3FA9"/>
    <w:rsid w:val="009E42E9"/>
    <w:rsid w:val="009E52C7"/>
    <w:rsid w:val="009E5FB5"/>
    <w:rsid w:val="009E61DD"/>
    <w:rsid w:val="009E66B0"/>
    <w:rsid w:val="009E67C4"/>
    <w:rsid w:val="009E6A95"/>
    <w:rsid w:val="009E6C0A"/>
    <w:rsid w:val="009E6C56"/>
    <w:rsid w:val="009E7213"/>
    <w:rsid w:val="009E7248"/>
    <w:rsid w:val="009E7419"/>
    <w:rsid w:val="009F03C2"/>
    <w:rsid w:val="009F0782"/>
    <w:rsid w:val="009F1127"/>
    <w:rsid w:val="009F19A4"/>
    <w:rsid w:val="009F1D40"/>
    <w:rsid w:val="009F23D5"/>
    <w:rsid w:val="009F3025"/>
    <w:rsid w:val="009F3418"/>
    <w:rsid w:val="009F383A"/>
    <w:rsid w:val="009F3D72"/>
    <w:rsid w:val="009F3F8B"/>
    <w:rsid w:val="009F4033"/>
    <w:rsid w:val="009F436E"/>
    <w:rsid w:val="009F48D2"/>
    <w:rsid w:val="009F4A33"/>
    <w:rsid w:val="009F52E1"/>
    <w:rsid w:val="009F5817"/>
    <w:rsid w:val="009F5952"/>
    <w:rsid w:val="009F6983"/>
    <w:rsid w:val="009F6A05"/>
    <w:rsid w:val="009F6EB7"/>
    <w:rsid w:val="009F6F49"/>
    <w:rsid w:val="009F7573"/>
    <w:rsid w:val="009F7926"/>
    <w:rsid w:val="009F7D59"/>
    <w:rsid w:val="00A009AF"/>
    <w:rsid w:val="00A00C27"/>
    <w:rsid w:val="00A00EE9"/>
    <w:rsid w:val="00A01A42"/>
    <w:rsid w:val="00A01C18"/>
    <w:rsid w:val="00A022A8"/>
    <w:rsid w:val="00A02453"/>
    <w:rsid w:val="00A026F2"/>
    <w:rsid w:val="00A0283C"/>
    <w:rsid w:val="00A02C9F"/>
    <w:rsid w:val="00A0369C"/>
    <w:rsid w:val="00A04B4C"/>
    <w:rsid w:val="00A04BDB"/>
    <w:rsid w:val="00A04F25"/>
    <w:rsid w:val="00A0519D"/>
    <w:rsid w:val="00A053AE"/>
    <w:rsid w:val="00A05BB7"/>
    <w:rsid w:val="00A06144"/>
    <w:rsid w:val="00A06873"/>
    <w:rsid w:val="00A0706B"/>
    <w:rsid w:val="00A072B2"/>
    <w:rsid w:val="00A07798"/>
    <w:rsid w:val="00A07C55"/>
    <w:rsid w:val="00A07F0D"/>
    <w:rsid w:val="00A105C4"/>
    <w:rsid w:val="00A10C0A"/>
    <w:rsid w:val="00A11813"/>
    <w:rsid w:val="00A1192A"/>
    <w:rsid w:val="00A11D90"/>
    <w:rsid w:val="00A13338"/>
    <w:rsid w:val="00A133E0"/>
    <w:rsid w:val="00A13C20"/>
    <w:rsid w:val="00A13CFB"/>
    <w:rsid w:val="00A14283"/>
    <w:rsid w:val="00A14714"/>
    <w:rsid w:val="00A149AE"/>
    <w:rsid w:val="00A14E86"/>
    <w:rsid w:val="00A15975"/>
    <w:rsid w:val="00A160DB"/>
    <w:rsid w:val="00A16488"/>
    <w:rsid w:val="00A166BD"/>
    <w:rsid w:val="00A16981"/>
    <w:rsid w:val="00A16CD7"/>
    <w:rsid w:val="00A17EBB"/>
    <w:rsid w:val="00A20BBB"/>
    <w:rsid w:val="00A20E7D"/>
    <w:rsid w:val="00A214D4"/>
    <w:rsid w:val="00A21597"/>
    <w:rsid w:val="00A21B17"/>
    <w:rsid w:val="00A21E56"/>
    <w:rsid w:val="00A22434"/>
    <w:rsid w:val="00A22919"/>
    <w:rsid w:val="00A22F95"/>
    <w:rsid w:val="00A22FE0"/>
    <w:rsid w:val="00A230E9"/>
    <w:rsid w:val="00A231B4"/>
    <w:rsid w:val="00A2350A"/>
    <w:rsid w:val="00A24B7F"/>
    <w:rsid w:val="00A24D5E"/>
    <w:rsid w:val="00A250D2"/>
    <w:rsid w:val="00A2553F"/>
    <w:rsid w:val="00A267B3"/>
    <w:rsid w:val="00A269EF"/>
    <w:rsid w:val="00A27839"/>
    <w:rsid w:val="00A303C5"/>
    <w:rsid w:val="00A308F2"/>
    <w:rsid w:val="00A31151"/>
    <w:rsid w:val="00A31376"/>
    <w:rsid w:val="00A31AE8"/>
    <w:rsid w:val="00A31C31"/>
    <w:rsid w:val="00A32847"/>
    <w:rsid w:val="00A339CA"/>
    <w:rsid w:val="00A33A03"/>
    <w:rsid w:val="00A33C92"/>
    <w:rsid w:val="00A33D10"/>
    <w:rsid w:val="00A33DD4"/>
    <w:rsid w:val="00A346A7"/>
    <w:rsid w:val="00A346BB"/>
    <w:rsid w:val="00A3532B"/>
    <w:rsid w:val="00A362BB"/>
    <w:rsid w:val="00A365FE"/>
    <w:rsid w:val="00A36AEB"/>
    <w:rsid w:val="00A379E2"/>
    <w:rsid w:val="00A37EC8"/>
    <w:rsid w:val="00A407C9"/>
    <w:rsid w:val="00A40A9F"/>
    <w:rsid w:val="00A40CB7"/>
    <w:rsid w:val="00A41170"/>
    <w:rsid w:val="00A41ED3"/>
    <w:rsid w:val="00A41F33"/>
    <w:rsid w:val="00A4215B"/>
    <w:rsid w:val="00A4263A"/>
    <w:rsid w:val="00A42EAF"/>
    <w:rsid w:val="00A43C24"/>
    <w:rsid w:val="00A43DBB"/>
    <w:rsid w:val="00A43E58"/>
    <w:rsid w:val="00A43ED6"/>
    <w:rsid w:val="00A43F1A"/>
    <w:rsid w:val="00A44030"/>
    <w:rsid w:val="00A44633"/>
    <w:rsid w:val="00A44870"/>
    <w:rsid w:val="00A45329"/>
    <w:rsid w:val="00A4549A"/>
    <w:rsid w:val="00A45739"/>
    <w:rsid w:val="00A462D4"/>
    <w:rsid w:val="00A46653"/>
    <w:rsid w:val="00A4742A"/>
    <w:rsid w:val="00A47CD5"/>
    <w:rsid w:val="00A502A5"/>
    <w:rsid w:val="00A5048F"/>
    <w:rsid w:val="00A5056F"/>
    <w:rsid w:val="00A50C4D"/>
    <w:rsid w:val="00A50F7D"/>
    <w:rsid w:val="00A5100D"/>
    <w:rsid w:val="00A51A0C"/>
    <w:rsid w:val="00A51A85"/>
    <w:rsid w:val="00A51C80"/>
    <w:rsid w:val="00A52182"/>
    <w:rsid w:val="00A523D5"/>
    <w:rsid w:val="00A5255D"/>
    <w:rsid w:val="00A53003"/>
    <w:rsid w:val="00A5323F"/>
    <w:rsid w:val="00A533EB"/>
    <w:rsid w:val="00A53638"/>
    <w:rsid w:val="00A53691"/>
    <w:rsid w:val="00A54131"/>
    <w:rsid w:val="00A5594F"/>
    <w:rsid w:val="00A56016"/>
    <w:rsid w:val="00A563C8"/>
    <w:rsid w:val="00A5648C"/>
    <w:rsid w:val="00A56CB5"/>
    <w:rsid w:val="00A56DAD"/>
    <w:rsid w:val="00A57039"/>
    <w:rsid w:val="00A571FD"/>
    <w:rsid w:val="00A57AF7"/>
    <w:rsid w:val="00A57E79"/>
    <w:rsid w:val="00A60114"/>
    <w:rsid w:val="00A60331"/>
    <w:rsid w:val="00A607F7"/>
    <w:rsid w:val="00A60B93"/>
    <w:rsid w:val="00A60CC8"/>
    <w:rsid w:val="00A6188B"/>
    <w:rsid w:val="00A61E07"/>
    <w:rsid w:val="00A6280E"/>
    <w:rsid w:val="00A63762"/>
    <w:rsid w:val="00A63B05"/>
    <w:rsid w:val="00A63BB2"/>
    <w:rsid w:val="00A63DB9"/>
    <w:rsid w:val="00A63E55"/>
    <w:rsid w:val="00A63E82"/>
    <w:rsid w:val="00A63EC9"/>
    <w:rsid w:val="00A63F2E"/>
    <w:rsid w:val="00A655B8"/>
    <w:rsid w:val="00A65DDC"/>
    <w:rsid w:val="00A665E3"/>
    <w:rsid w:val="00A66AC4"/>
    <w:rsid w:val="00A66CCA"/>
    <w:rsid w:val="00A66D68"/>
    <w:rsid w:val="00A6732D"/>
    <w:rsid w:val="00A6748A"/>
    <w:rsid w:val="00A67901"/>
    <w:rsid w:val="00A67945"/>
    <w:rsid w:val="00A67EC8"/>
    <w:rsid w:val="00A700C0"/>
    <w:rsid w:val="00A70621"/>
    <w:rsid w:val="00A7064B"/>
    <w:rsid w:val="00A71370"/>
    <w:rsid w:val="00A71974"/>
    <w:rsid w:val="00A71BCB"/>
    <w:rsid w:val="00A71CA6"/>
    <w:rsid w:val="00A7215A"/>
    <w:rsid w:val="00A722FB"/>
    <w:rsid w:val="00A727D2"/>
    <w:rsid w:val="00A72E7D"/>
    <w:rsid w:val="00A737B8"/>
    <w:rsid w:val="00A737E3"/>
    <w:rsid w:val="00A73BCD"/>
    <w:rsid w:val="00A73F51"/>
    <w:rsid w:val="00A75200"/>
    <w:rsid w:val="00A757A9"/>
    <w:rsid w:val="00A759C6"/>
    <w:rsid w:val="00A75CBD"/>
    <w:rsid w:val="00A76C10"/>
    <w:rsid w:val="00A76F10"/>
    <w:rsid w:val="00A7751F"/>
    <w:rsid w:val="00A7790E"/>
    <w:rsid w:val="00A779AA"/>
    <w:rsid w:val="00A77C18"/>
    <w:rsid w:val="00A80308"/>
    <w:rsid w:val="00A80786"/>
    <w:rsid w:val="00A80836"/>
    <w:rsid w:val="00A80BD1"/>
    <w:rsid w:val="00A810C2"/>
    <w:rsid w:val="00A8126E"/>
    <w:rsid w:val="00A817ED"/>
    <w:rsid w:val="00A821D0"/>
    <w:rsid w:val="00A82E1B"/>
    <w:rsid w:val="00A8387E"/>
    <w:rsid w:val="00A83A93"/>
    <w:rsid w:val="00A83F2A"/>
    <w:rsid w:val="00A8419D"/>
    <w:rsid w:val="00A84331"/>
    <w:rsid w:val="00A8453D"/>
    <w:rsid w:val="00A84820"/>
    <w:rsid w:val="00A84B19"/>
    <w:rsid w:val="00A84B1F"/>
    <w:rsid w:val="00A84BE3"/>
    <w:rsid w:val="00A84D11"/>
    <w:rsid w:val="00A84FA9"/>
    <w:rsid w:val="00A853C6"/>
    <w:rsid w:val="00A854F7"/>
    <w:rsid w:val="00A867E9"/>
    <w:rsid w:val="00A869EA"/>
    <w:rsid w:val="00A86A0C"/>
    <w:rsid w:val="00A86C92"/>
    <w:rsid w:val="00A86FBF"/>
    <w:rsid w:val="00A870DC"/>
    <w:rsid w:val="00A8759D"/>
    <w:rsid w:val="00A877EE"/>
    <w:rsid w:val="00A878BE"/>
    <w:rsid w:val="00A87B20"/>
    <w:rsid w:val="00A905D2"/>
    <w:rsid w:val="00A90A56"/>
    <w:rsid w:val="00A90B36"/>
    <w:rsid w:val="00A90EB0"/>
    <w:rsid w:val="00A9100A"/>
    <w:rsid w:val="00A91F18"/>
    <w:rsid w:val="00A92827"/>
    <w:rsid w:val="00A93057"/>
    <w:rsid w:val="00A93CB2"/>
    <w:rsid w:val="00A9465C"/>
    <w:rsid w:val="00A95572"/>
    <w:rsid w:val="00A95A2B"/>
    <w:rsid w:val="00A95AD7"/>
    <w:rsid w:val="00A964CB"/>
    <w:rsid w:val="00A965FC"/>
    <w:rsid w:val="00A96DA0"/>
    <w:rsid w:val="00A97275"/>
    <w:rsid w:val="00A979A3"/>
    <w:rsid w:val="00A97EBA"/>
    <w:rsid w:val="00A97F0F"/>
    <w:rsid w:val="00AA1EFB"/>
    <w:rsid w:val="00AA354E"/>
    <w:rsid w:val="00AA3993"/>
    <w:rsid w:val="00AA3A23"/>
    <w:rsid w:val="00AA423A"/>
    <w:rsid w:val="00AA4656"/>
    <w:rsid w:val="00AA4688"/>
    <w:rsid w:val="00AA5688"/>
    <w:rsid w:val="00AA6F34"/>
    <w:rsid w:val="00AA712C"/>
    <w:rsid w:val="00AA71C8"/>
    <w:rsid w:val="00AA79A0"/>
    <w:rsid w:val="00AA7C40"/>
    <w:rsid w:val="00AA7E31"/>
    <w:rsid w:val="00AB0E79"/>
    <w:rsid w:val="00AB1486"/>
    <w:rsid w:val="00AB16E8"/>
    <w:rsid w:val="00AB2171"/>
    <w:rsid w:val="00AB226C"/>
    <w:rsid w:val="00AB22D7"/>
    <w:rsid w:val="00AB2777"/>
    <w:rsid w:val="00AB3270"/>
    <w:rsid w:val="00AB33A8"/>
    <w:rsid w:val="00AB3C7A"/>
    <w:rsid w:val="00AB40FB"/>
    <w:rsid w:val="00AB45BF"/>
    <w:rsid w:val="00AB4BEB"/>
    <w:rsid w:val="00AB520E"/>
    <w:rsid w:val="00AB54E7"/>
    <w:rsid w:val="00AB5622"/>
    <w:rsid w:val="00AB5ABB"/>
    <w:rsid w:val="00AB5ED0"/>
    <w:rsid w:val="00AB6087"/>
    <w:rsid w:val="00AB6526"/>
    <w:rsid w:val="00AB66D4"/>
    <w:rsid w:val="00AB6CB4"/>
    <w:rsid w:val="00AB7676"/>
    <w:rsid w:val="00AB7B64"/>
    <w:rsid w:val="00AB7D06"/>
    <w:rsid w:val="00AC05D1"/>
    <w:rsid w:val="00AC06B4"/>
    <w:rsid w:val="00AC089A"/>
    <w:rsid w:val="00AC0BD4"/>
    <w:rsid w:val="00AC1A0F"/>
    <w:rsid w:val="00AC1B94"/>
    <w:rsid w:val="00AC2530"/>
    <w:rsid w:val="00AC2ADC"/>
    <w:rsid w:val="00AC3021"/>
    <w:rsid w:val="00AC3099"/>
    <w:rsid w:val="00AC3255"/>
    <w:rsid w:val="00AC3C1D"/>
    <w:rsid w:val="00AC49FF"/>
    <w:rsid w:val="00AC4D8A"/>
    <w:rsid w:val="00AC4E43"/>
    <w:rsid w:val="00AC54ED"/>
    <w:rsid w:val="00AC5C05"/>
    <w:rsid w:val="00AC5E3E"/>
    <w:rsid w:val="00AC68DF"/>
    <w:rsid w:val="00AC6E40"/>
    <w:rsid w:val="00AC7125"/>
    <w:rsid w:val="00AC77E2"/>
    <w:rsid w:val="00AC7C50"/>
    <w:rsid w:val="00AC7C78"/>
    <w:rsid w:val="00AC7DDA"/>
    <w:rsid w:val="00AD0BF2"/>
    <w:rsid w:val="00AD12EF"/>
    <w:rsid w:val="00AD1540"/>
    <w:rsid w:val="00AD2263"/>
    <w:rsid w:val="00AD22CA"/>
    <w:rsid w:val="00AD2389"/>
    <w:rsid w:val="00AD25BB"/>
    <w:rsid w:val="00AD27E0"/>
    <w:rsid w:val="00AD32E9"/>
    <w:rsid w:val="00AD396E"/>
    <w:rsid w:val="00AD4403"/>
    <w:rsid w:val="00AD47E6"/>
    <w:rsid w:val="00AD49B6"/>
    <w:rsid w:val="00AD55AB"/>
    <w:rsid w:val="00AD5BA2"/>
    <w:rsid w:val="00AD6644"/>
    <w:rsid w:val="00AD6A5E"/>
    <w:rsid w:val="00AD730C"/>
    <w:rsid w:val="00AD7777"/>
    <w:rsid w:val="00AD7DC1"/>
    <w:rsid w:val="00AD7EBD"/>
    <w:rsid w:val="00AE0DD1"/>
    <w:rsid w:val="00AE108E"/>
    <w:rsid w:val="00AE13A3"/>
    <w:rsid w:val="00AE154A"/>
    <w:rsid w:val="00AE1811"/>
    <w:rsid w:val="00AE1909"/>
    <w:rsid w:val="00AE22E6"/>
    <w:rsid w:val="00AE276D"/>
    <w:rsid w:val="00AE2928"/>
    <w:rsid w:val="00AE338E"/>
    <w:rsid w:val="00AE354E"/>
    <w:rsid w:val="00AE38A8"/>
    <w:rsid w:val="00AE3F01"/>
    <w:rsid w:val="00AE484F"/>
    <w:rsid w:val="00AE4BBE"/>
    <w:rsid w:val="00AE4F0F"/>
    <w:rsid w:val="00AE52BB"/>
    <w:rsid w:val="00AE5308"/>
    <w:rsid w:val="00AE5593"/>
    <w:rsid w:val="00AE5847"/>
    <w:rsid w:val="00AE5A77"/>
    <w:rsid w:val="00AE61F5"/>
    <w:rsid w:val="00AE6641"/>
    <w:rsid w:val="00AE6688"/>
    <w:rsid w:val="00AE70C3"/>
    <w:rsid w:val="00AE764F"/>
    <w:rsid w:val="00AE7A0E"/>
    <w:rsid w:val="00AE7EF0"/>
    <w:rsid w:val="00AF046C"/>
    <w:rsid w:val="00AF17FB"/>
    <w:rsid w:val="00AF1A2C"/>
    <w:rsid w:val="00AF1D09"/>
    <w:rsid w:val="00AF1E7C"/>
    <w:rsid w:val="00AF1FF5"/>
    <w:rsid w:val="00AF1FFC"/>
    <w:rsid w:val="00AF2188"/>
    <w:rsid w:val="00AF2829"/>
    <w:rsid w:val="00AF2E32"/>
    <w:rsid w:val="00AF3304"/>
    <w:rsid w:val="00AF3343"/>
    <w:rsid w:val="00AF3836"/>
    <w:rsid w:val="00AF3D65"/>
    <w:rsid w:val="00AF4AB7"/>
    <w:rsid w:val="00AF5542"/>
    <w:rsid w:val="00AF56A7"/>
    <w:rsid w:val="00AF5734"/>
    <w:rsid w:val="00AF5B97"/>
    <w:rsid w:val="00AF62A9"/>
    <w:rsid w:val="00AF65CA"/>
    <w:rsid w:val="00AF766B"/>
    <w:rsid w:val="00AF770E"/>
    <w:rsid w:val="00AF783E"/>
    <w:rsid w:val="00AF7B3D"/>
    <w:rsid w:val="00AF7C4E"/>
    <w:rsid w:val="00B002DD"/>
    <w:rsid w:val="00B004C3"/>
    <w:rsid w:val="00B006B5"/>
    <w:rsid w:val="00B00AD5"/>
    <w:rsid w:val="00B00E24"/>
    <w:rsid w:val="00B00EF0"/>
    <w:rsid w:val="00B00FCC"/>
    <w:rsid w:val="00B012CA"/>
    <w:rsid w:val="00B01816"/>
    <w:rsid w:val="00B019C5"/>
    <w:rsid w:val="00B01AF3"/>
    <w:rsid w:val="00B01E1C"/>
    <w:rsid w:val="00B01E25"/>
    <w:rsid w:val="00B02067"/>
    <w:rsid w:val="00B02A93"/>
    <w:rsid w:val="00B02BAF"/>
    <w:rsid w:val="00B02F87"/>
    <w:rsid w:val="00B03480"/>
    <w:rsid w:val="00B04053"/>
    <w:rsid w:val="00B04927"/>
    <w:rsid w:val="00B04C53"/>
    <w:rsid w:val="00B04CC5"/>
    <w:rsid w:val="00B053DA"/>
    <w:rsid w:val="00B0556C"/>
    <w:rsid w:val="00B056DD"/>
    <w:rsid w:val="00B05CBD"/>
    <w:rsid w:val="00B0612B"/>
    <w:rsid w:val="00B063DA"/>
    <w:rsid w:val="00B068E7"/>
    <w:rsid w:val="00B072EA"/>
    <w:rsid w:val="00B07444"/>
    <w:rsid w:val="00B07585"/>
    <w:rsid w:val="00B07593"/>
    <w:rsid w:val="00B07B5C"/>
    <w:rsid w:val="00B07EA4"/>
    <w:rsid w:val="00B100F5"/>
    <w:rsid w:val="00B102BE"/>
    <w:rsid w:val="00B10F71"/>
    <w:rsid w:val="00B11786"/>
    <w:rsid w:val="00B11A05"/>
    <w:rsid w:val="00B11A87"/>
    <w:rsid w:val="00B120AF"/>
    <w:rsid w:val="00B12240"/>
    <w:rsid w:val="00B12610"/>
    <w:rsid w:val="00B126A2"/>
    <w:rsid w:val="00B13337"/>
    <w:rsid w:val="00B136AE"/>
    <w:rsid w:val="00B1425E"/>
    <w:rsid w:val="00B14279"/>
    <w:rsid w:val="00B14C92"/>
    <w:rsid w:val="00B1538A"/>
    <w:rsid w:val="00B157D1"/>
    <w:rsid w:val="00B15BE1"/>
    <w:rsid w:val="00B166F0"/>
    <w:rsid w:val="00B1736C"/>
    <w:rsid w:val="00B176A7"/>
    <w:rsid w:val="00B179FE"/>
    <w:rsid w:val="00B17C31"/>
    <w:rsid w:val="00B201B6"/>
    <w:rsid w:val="00B20500"/>
    <w:rsid w:val="00B20DF0"/>
    <w:rsid w:val="00B21A42"/>
    <w:rsid w:val="00B21B27"/>
    <w:rsid w:val="00B21E9B"/>
    <w:rsid w:val="00B2254C"/>
    <w:rsid w:val="00B230FE"/>
    <w:rsid w:val="00B2383D"/>
    <w:rsid w:val="00B23FE5"/>
    <w:rsid w:val="00B2511C"/>
    <w:rsid w:val="00B251CE"/>
    <w:rsid w:val="00B25336"/>
    <w:rsid w:val="00B25534"/>
    <w:rsid w:val="00B265ED"/>
    <w:rsid w:val="00B26BA4"/>
    <w:rsid w:val="00B306A4"/>
    <w:rsid w:val="00B30A43"/>
    <w:rsid w:val="00B30C69"/>
    <w:rsid w:val="00B30CD9"/>
    <w:rsid w:val="00B328DC"/>
    <w:rsid w:val="00B34360"/>
    <w:rsid w:val="00B3453C"/>
    <w:rsid w:val="00B347AC"/>
    <w:rsid w:val="00B350AA"/>
    <w:rsid w:val="00B3549F"/>
    <w:rsid w:val="00B3568A"/>
    <w:rsid w:val="00B35AFC"/>
    <w:rsid w:val="00B35F19"/>
    <w:rsid w:val="00B3628D"/>
    <w:rsid w:val="00B3694B"/>
    <w:rsid w:val="00B36CF1"/>
    <w:rsid w:val="00B3774D"/>
    <w:rsid w:val="00B37DA9"/>
    <w:rsid w:val="00B40245"/>
    <w:rsid w:val="00B40591"/>
    <w:rsid w:val="00B40900"/>
    <w:rsid w:val="00B42016"/>
    <w:rsid w:val="00B4230E"/>
    <w:rsid w:val="00B42F68"/>
    <w:rsid w:val="00B43117"/>
    <w:rsid w:val="00B4367C"/>
    <w:rsid w:val="00B43CFD"/>
    <w:rsid w:val="00B43ECF"/>
    <w:rsid w:val="00B441CF"/>
    <w:rsid w:val="00B442BA"/>
    <w:rsid w:val="00B44480"/>
    <w:rsid w:val="00B44540"/>
    <w:rsid w:val="00B45403"/>
    <w:rsid w:val="00B45C19"/>
    <w:rsid w:val="00B45D98"/>
    <w:rsid w:val="00B46CF9"/>
    <w:rsid w:val="00B47A8A"/>
    <w:rsid w:val="00B47B85"/>
    <w:rsid w:val="00B47D20"/>
    <w:rsid w:val="00B5064A"/>
    <w:rsid w:val="00B50698"/>
    <w:rsid w:val="00B50F61"/>
    <w:rsid w:val="00B518E8"/>
    <w:rsid w:val="00B51AE9"/>
    <w:rsid w:val="00B52669"/>
    <w:rsid w:val="00B5267B"/>
    <w:rsid w:val="00B52965"/>
    <w:rsid w:val="00B53571"/>
    <w:rsid w:val="00B5378F"/>
    <w:rsid w:val="00B53A13"/>
    <w:rsid w:val="00B53C8F"/>
    <w:rsid w:val="00B53CDC"/>
    <w:rsid w:val="00B54539"/>
    <w:rsid w:val="00B54AD2"/>
    <w:rsid w:val="00B5522C"/>
    <w:rsid w:val="00B5593C"/>
    <w:rsid w:val="00B55A42"/>
    <w:rsid w:val="00B577C7"/>
    <w:rsid w:val="00B60181"/>
    <w:rsid w:val="00B60E51"/>
    <w:rsid w:val="00B61A79"/>
    <w:rsid w:val="00B61B16"/>
    <w:rsid w:val="00B6215C"/>
    <w:rsid w:val="00B6252C"/>
    <w:rsid w:val="00B627E1"/>
    <w:rsid w:val="00B62881"/>
    <w:rsid w:val="00B6317F"/>
    <w:rsid w:val="00B637FC"/>
    <w:rsid w:val="00B6383C"/>
    <w:rsid w:val="00B63D78"/>
    <w:rsid w:val="00B63E24"/>
    <w:rsid w:val="00B63FF5"/>
    <w:rsid w:val="00B6407B"/>
    <w:rsid w:val="00B649B4"/>
    <w:rsid w:val="00B64FC8"/>
    <w:rsid w:val="00B65078"/>
    <w:rsid w:val="00B6653C"/>
    <w:rsid w:val="00B66BA8"/>
    <w:rsid w:val="00B67351"/>
    <w:rsid w:val="00B675EB"/>
    <w:rsid w:val="00B70778"/>
    <w:rsid w:val="00B714CF"/>
    <w:rsid w:val="00B71790"/>
    <w:rsid w:val="00B717E3"/>
    <w:rsid w:val="00B71B0A"/>
    <w:rsid w:val="00B71C13"/>
    <w:rsid w:val="00B71DF8"/>
    <w:rsid w:val="00B726A9"/>
    <w:rsid w:val="00B72AAF"/>
    <w:rsid w:val="00B72ABC"/>
    <w:rsid w:val="00B73246"/>
    <w:rsid w:val="00B73676"/>
    <w:rsid w:val="00B73F06"/>
    <w:rsid w:val="00B74799"/>
    <w:rsid w:val="00B75065"/>
    <w:rsid w:val="00B7547D"/>
    <w:rsid w:val="00B75484"/>
    <w:rsid w:val="00B75988"/>
    <w:rsid w:val="00B77423"/>
    <w:rsid w:val="00B77504"/>
    <w:rsid w:val="00B77786"/>
    <w:rsid w:val="00B77A1D"/>
    <w:rsid w:val="00B77EB0"/>
    <w:rsid w:val="00B8026E"/>
    <w:rsid w:val="00B8044D"/>
    <w:rsid w:val="00B80BF6"/>
    <w:rsid w:val="00B814AF"/>
    <w:rsid w:val="00B816F2"/>
    <w:rsid w:val="00B81796"/>
    <w:rsid w:val="00B818CF"/>
    <w:rsid w:val="00B81C9C"/>
    <w:rsid w:val="00B822C8"/>
    <w:rsid w:val="00B82583"/>
    <w:rsid w:val="00B82884"/>
    <w:rsid w:val="00B83600"/>
    <w:rsid w:val="00B8371B"/>
    <w:rsid w:val="00B84560"/>
    <w:rsid w:val="00B84CBF"/>
    <w:rsid w:val="00B85D4E"/>
    <w:rsid w:val="00B85DCE"/>
    <w:rsid w:val="00B86906"/>
    <w:rsid w:val="00B871C4"/>
    <w:rsid w:val="00B873F3"/>
    <w:rsid w:val="00B87938"/>
    <w:rsid w:val="00B87D6F"/>
    <w:rsid w:val="00B90256"/>
    <w:rsid w:val="00B906B2"/>
    <w:rsid w:val="00B910DA"/>
    <w:rsid w:val="00B919C0"/>
    <w:rsid w:val="00B91DB2"/>
    <w:rsid w:val="00B91F8F"/>
    <w:rsid w:val="00B9270B"/>
    <w:rsid w:val="00B92765"/>
    <w:rsid w:val="00B92835"/>
    <w:rsid w:val="00B937C3"/>
    <w:rsid w:val="00B93D14"/>
    <w:rsid w:val="00B93F7E"/>
    <w:rsid w:val="00B943F3"/>
    <w:rsid w:val="00B94D6F"/>
    <w:rsid w:val="00B95A82"/>
    <w:rsid w:val="00B965CD"/>
    <w:rsid w:val="00B966AA"/>
    <w:rsid w:val="00B96998"/>
    <w:rsid w:val="00B97AE7"/>
    <w:rsid w:val="00BA05D2"/>
    <w:rsid w:val="00BA135F"/>
    <w:rsid w:val="00BA1828"/>
    <w:rsid w:val="00BA20D5"/>
    <w:rsid w:val="00BA228C"/>
    <w:rsid w:val="00BA2325"/>
    <w:rsid w:val="00BA2859"/>
    <w:rsid w:val="00BA2C7B"/>
    <w:rsid w:val="00BA2C87"/>
    <w:rsid w:val="00BA41D8"/>
    <w:rsid w:val="00BA4689"/>
    <w:rsid w:val="00BA4F89"/>
    <w:rsid w:val="00BA551F"/>
    <w:rsid w:val="00BA57B5"/>
    <w:rsid w:val="00BA5819"/>
    <w:rsid w:val="00BA5AA7"/>
    <w:rsid w:val="00BA5BCF"/>
    <w:rsid w:val="00BA62DA"/>
    <w:rsid w:val="00BA647A"/>
    <w:rsid w:val="00BA7517"/>
    <w:rsid w:val="00BA77F7"/>
    <w:rsid w:val="00BA7B68"/>
    <w:rsid w:val="00BA7E31"/>
    <w:rsid w:val="00BB0365"/>
    <w:rsid w:val="00BB038B"/>
    <w:rsid w:val="00BB08A5"/>
    <w:rsid w:val="00BB159E"/>
    <w:rsid w:val="00BB170A"/>
    <w:rsid w:val="00BB233A"/>
    <w:rsid w:val="00BB255C"/>
    <w:rsid w:val="00BB25BC"/>
    <w:rsid w:val="00BB2BC8"/>
    <w:rsid w:val="00BB3A05"/>
    <w:rsid w:val="00BB3D95"/>
    <w:rsid w:val="00BB4F7D"/>
    <w:rsid w:val="00BB51B2"/>
    <w:rsid w:val="00BB5330"/>
    <w:rsid w:val="00BB59BA"/>
    <w:rsid w:val="00BB5C29"/>
    <w:rsid w:val="00BB5FA5"/>
    <w:rsid w:val="00BB5FE9"/>
    <w:rsid w:val="00BB614D"/>
    <w:rsid w:val="00BB6371"/>
    <w:rsid w:val="00BB6500"/>
    <w:rsid w:val="00BB6FA4"/>
    <w:rsid w:val="00BB773C"/>
    <w:rsid w:val="00BB791C"/>
    <w:rsid w:val="00BB79E5"/>
    <w:rsid w:val="00BB7C94"/>
    <w:rsid w:val="00BC30C3"/>
    <w:rsid w:val="00BC37CA"/>
    <w:rsid w:val="00BC47D7"/>
    <w:rsid w:val="00BC4FFA"/>
    <w:rsid w:val="00BC505B"/>
    <w:rsid w:val="00BC5119"/>
    <w:rsid w:val="00BC5166"/>
    <w:rsid w:val="00BC53B2"/>
    <w:rsid w:val="00BC5784"/>
    <w:rsid w:val="00BC5CCA"/>
    <w:rsid w:val="00BC6235"/>
    <w:rsid w:val="00BC6E65"/>
    <w:rsid w:val="00BC7116"/>
    <w:rsid w:val="00BC7746"/>
    <w:rsid w:val="00BD0074"/>
    <w:rsid w:val="00BD0383"/>
    <w:rsid w:val="00BD0959"/>
    <w:rsid w:val="00BD0D7A"/>
    <w:rsid w:val="00BD0E28"/>
    <w:rsid w:val="00BD11D0"/>
    <w:rsid w:val="00BD131C"/>
    <w:rsid w:val="00BD24FB"/>
    <w:rsid w:val="00BD29A4"/>
    <w:rsid w:val="00BD29AA"/>
    <w:rsid w:val="00BD2AE7"/>
    <w:rsid w:val="00BD35CA"/>
    <w:rsid w:val="00BD3B2A"/>
    <w:rsid w:val="00BD3F21"/>
    <w:rsid w:val="00BD551B"/>
    <w:rsid w:val="00BD57F0"/>
    <w:rsid w:val="00BD6092"/>
    <w:rsid w:val="00BD6883"/>
    <w:rsid w:val="00BD6FF5"/>
    <w:rsid w:val="00BD7183"/>
    <w:rsid w:val="00BD7AC1"/>
    <w:rsid w:val="00BD7B00"/>
    <w:rsid w:val="00BD7F40"/>
    <w:rsid w:val="00BE013F"/>
    <w:rsid w:val="00BE0343"/>
    <w:rsid w:val="00BE06F4"/>
    <w:rsid w:val="00BE0859"/>
    <w:rsid w:val="00BE0C22"/>
    <w:rsid w:val="00BE0F2B"/>
    <w:rsid w:val="00BE131A"/>
    <w:rsid w:val="00BE16E4"/>
    <w:rsid w:val="00BE190E"/>
    <w:rsid w:val="00BE19B7"/>
    <w:rsid w:val="00BE1ADC"/>
    <w:rsid w:val="00BE1BA3"/>
    <w:rsid w:val="00BE1D84"/>
    <w:rsid w:val="00BE2083"/>
    <w:rsid w:val="00BE25B3"/>
    <w:rsid w:val="00BE32DD"/>
    <w:rsid w:val="00BE3822"/>
    <w:rsid w:val="00BE41B3"/>
    <w:rsid w:val="00BE429E"/>
    <w:rsid w:val="00BE44CA"/>
    <w:rsid w:val="00BE451D"/>
    <w:rsid w:val="00BE506B"/>
    <w:rsid w:val="00BE53D3"/>
    <w:rsid w:val="00BE5E01"/>
    <w:rsid w:val="00BE5E43"/>
    <w:rsid w:val="00BE6234"/>
    <w:rsid w:val="00BE6B7D"/>
    <w:rsid w:val="00BE6D99"/>
    <w:rsid w:val="00BE6FDB"/>
    <w:rsid w:val="00BE7217"/>
    <w:rsid w:val="00BF0369"/>
    <w:rsid w:val="00BF1613"/>
    <w:rsid w:val="00BF1C4F"/>
    <w:rsid w:val="00BF314E"/>
    <w:rsid w:val="00BF3204"/>
    <w:rsid w:val="00BF3567"/>
    <w:rsid w:val="00BF36B5"/>
    <w:rsid w:val="00BF38A7"/>
    <w:rsid w:val="00BF3B75"/>
    <w:rsid w:val="00BF425F"/>
    <w:rsid w:val="00BF4FE5"/>
    <w:rsid w:val="00BF5AA7"/>
    <w:rsid w:val="00BF5AAF"/>
    <w:rsid w:val="00BF5FBF"/>
    <w:rsid w:val="00BF6476"/>
    <w:rsid w:val="00BF69BE"/>
    <w:rsid w:val="00BF75FE"/>
    <w:rsid w:val="00BF7814"/>
    <w:rsid w:val="00BF79F6"/>
    <w:rsid w:val="00BF7A4F"/>
    <w:rsid w:val="00BF7CE9"/>
    <w:rsid w:val="00C00393"/>
    <w:rsid w:val="00C005C0"/>
    <w:rsid w:val="00C006F3"/>
    <w:rsid w:val="00C00847"/>
    <w:rsid w:val="00C00E7E"/>
    <w:rsid w:val="00C01A9C"/>
    <w:rsid w:val="00C01C7B"/>
    <w:rsid w:val="00C01D5C"/>
    <w:rsid w:val="00C02DFC"/>
    <w:rsid w:val="00C03C94"/>
    <w:rsid w:val="00C03CA2"/>
    <w:rsid w:val="00C04AF7"/>
    <w:rsid w:val="00C04E7D"/>
    <w:rsid w:val="00C053CA"/>
    <w:rsid w:val="00C0554F"/>
    <w:rsid w:val="00C055F9"/>
    <w:rsid w:val="00C0592C"/>
    <w:rsid w:val="00C05CE8"/>
    <w:rsid w:val="00C06172"/>
    <w:rsid w:val="00C070CD"/>
    <w:rsid w:val="00C100A7"/>
    <w:rsid w:val="00C1092B"/>
    <w:rsid w:val="00C10C0D"/>
    <w:rsid w:val="00C11307"/>
    <w:rsid w:val="00C11A87"/>
    <w:rsid w:val="00C1244E"/>
    <w:rsid w:val="00C128B7"/>
    <w:rsid w:val="00C12BB0"/>
    <w:rsid w:val="00C13585"/>
    <w:rsid w:val="00C137A1"/>
    <w:rsid w:val="00C13C00"/>
    <w:rsid w:val="00C141E1"/>
    <w:rsid w:val="00C14327"/>
    <w:rsid w:val="00C14636"/>
    <w:rsid w:val="00C14B3A"/>
    <w:rsid w:val="00C150B0"/>
    <w:rsid w:val="00C153F1"/>
    <w:rsid w:val="00C15605"/>
    <w:rsid w:val="00C15753"/>
    <w:rsid w:val="00C15B62"/>
    <w:rsid w:val="00C15C49"/>
    <w:rsid w:val="00C162DE"/>
    <w:rsid w:val="00C16528"/>
    <w:rsid w:val="00C1684A"/>
    <w:rsid w:val="00C17612"/>
    <w:rsid w:val="00C20A72"/>
    <w:rsid w:val="00C20F94"/>
    <w:rsid w:val="00C219A8"/>
    <w:rsid w:val="00C21CFF"/>
    <w:rsid w:val="00C21D7E"/>
    <w:rsid w:val="00C21F46"/>
    <w:rsid w:val="00C21FC0"/>
    <w:rsid w:val="00C225CF"/>
    <w:rsid w:val="00C22D53"/>
    <w:rsid w:val="00C23188"/>
    <w:rsid w:val="00C2318B"/>
    <w:rsid w:val="00C23276"/>
    <w:rsid w:val="00C234B3"/>
    <w:rsid w:val="00C23D45"/>
    <w:rsid w:val="00C23FAC"/>
    <w:rsid w:val="00C24261"/>
    <w:rsid w:val="00C2486F"/>
    <w:rsid w:val="00C248CC"/>
    <w:rsid w:val="00C2493E"/>
    <w:rsid w:val="00C25537"/>
    <w:rsid w:val="00C2585A"/>
    <w:rsid w:val="00C25D15"/>
    <w:rsid w:val="00C264E1"/>
    <w:rsid w:val="00C274FD"/>
    <w:rsid w:val="00C27ACC"/>
    <w:rsid w:val="00C301F7"/>
    <w:rsid w:val="00C30793"/>
    <w:rsid w:val="00C30964"/>
    <w:rsid w:val="00C30FB0"/>
    <w:rsid w:val="00C31092"/>
    <w:rsid w:val="00C315C3"/>
    <w:rsid w:val="00C31E14"/>
    <w:rsid w:val="00C320B1"/>
    <w:rsid w:val="00C32317"/>
    <w:rsid w:val="00C327E7"/>
    <w:rsid w:val="00C328C6"/>
    <w:rsid w:val="00C335EE"/>
    <w:rsid w:val="00C33613"/>
    <w:rsid w:val="00C33D5B"/>
    <w:rsid w:val="00C341C2"/>
    <w:rsid w:val="00C345F3"/>
    <w:rsid w:val="00C34634"/>
    <w:rsid w:val="00C35183"/>
    <w:rsid w:val="00C35231"/>
    <w:rsid w:val="00C352CB"/>
    <w:rsid w:val="00C3533C"/>
    <w:rsid w:val="00C35494"/>
    <w:rsid w:val="00C3663D"/>
    <w:rsid w:val="00C366A1"/>
    <w:rsid w:val="00C368F4"/>
    <w:rsid w:val="00C369E5"/>
    <w:rsid w:val="00C36C00"/>
    <w:rsid w:val="00C36D37"/>
    <w:rsid w:val="00C374A7"/>
    <w:rsid w:val="00C405E0"/>
    <w:rsid w:val="00C40A4B"/>
    <w:rsid w:val="00C40EAF"/>
    <w:rsid w:val="00C42241"/>
    <w:rsid w:val="00C42ACF"/>
    <w:rsid w:val="00C42CE8"/>
    <w:rsid w:val="00C42EDC"/>
    <w:rsid w:val="00C43194"/>
    <w:rsid w:val="00C4370C"/>
    <w:rsid w:val="00C43952"/>
    <w:rsid w:val="00C443E1"/>
    <w:rsid w:val="00C450BC"/>
    <w:rsid w:val="00C45384"/>
    <w:rsid w:val="00C455CB"/>
    <w:rsid w:val="00C459DE"/>
    <w:rsid w:val="00C459E5"/>
    <w:rsid w:val="00C45B0E"/>
    <w:rsid w:val="00C45D7C"/>
    <w:rsid w:val="00C45EBA"/>
    <w:rsid w:val="00C45FFA"/>
    <w:rsid w:val="00C468E2"/>
    <w:rsid w:val="00C46AFD"/>
    <w:rsid w:val="00C46E5B"/>
    <w:rsid w:val="00C47552"/>
    <w:rsid w:val="00C47B2C"/>
    <w:rsid w:val="00C47F4E"/>
    <w:rsid w:val="00C47F80"/>
    <w:rsid w:val="00C50685"/>
    <w:rsid w:val="00C50961"/>
    <w:rsid w:val="00C50EFB"/>
    <w:rsid w:val="00C50F7E"/>
    <w:rsid w:val="00C51559"/>
    <w:rsid w:val="00C5163E"/>
    <w:rsid w:val="00C51C2D"/>
    <w:rsid w:val="00C52962"/>
    <w:rsid w:val="00C52CE9"/>
    <w:rsid w:val="00C53494"/>
    <w:rsid w:val="00C534C1"/>
    <w:rsid w:val="00C539DA"/>
    <w:rsid w:val="00C53B3B"/>
    <w:rsid w:val="00C53B5F"/>
    <w:rsid w:val="00C53DC3"/>
    <w:rsid w:val="00C543D3"/>
    <w:rsid w:val="00C547EC"/>
    <w:rsid w:val="00C54C44"/>
    <w:rsid w:val="00C5500C"/>
    <w:rsid w:val="00C55086"/>
    <w:rsid w:val="00C55C76"/>
    <w:rsid w:val="00C563C8"/>
    <w:rsid w:val="00C56C88"/>
    <w:rsid w:val="00C56CF4"/>
    <w:rsid w:val="00C5727F"/>
    <w:rsid w:val="00C574D8"/>
    <w:rsid w:val="00C57644"/>
    <w:rsid w:val="00C57C99"/>
    <w:rsid w:val="00C6007D"/>
    <w:rsid w:val="00C6047C"/>
    <w:rsid w:val="00C604E2"/>
    <w:rsid w:val="00C6051D"/>
    <w:rsid w:val="00C6089F"/>
    <w:rsid w:val="00C609B5"/>
    <w:rsid w:val="00C60E66"/>
    <w:rsid w:val="00C6108F"/>
    <w:rsid w:val="00C61505"/>
    <w:rsid w:val="00C61EA1"/>
    <w:rsid w:val="00C61EB2"/>
    <w:rsid w:val="00C61F6B"/>
    <w:rsid w:val="00C620BE"/>
    <w:rsid w:val="00C6268B"/>
    <w:rsid w:val="00C62A1C"/>
    <w:rsid w:val="00C62AB1"/>
    <w:rsid w:val="00C62F41"/>
    <w:rsid w:val="00C632EB"/>
    <w:rsid w:val="00C63A9E"/>
    <w:rsid w:val="00C63B5E"/>
    <w:rsid w:val="00C63B8E"/>
    <w:rsid w:val="00C65691"/>
    <w:rsid w:val="00C65A35"/>
    <w:rsid w:val="00C65F20"/>
    <w:rsid w:val="00C66479"/>
    <w:rsid w:val="00C6648F"/>
    <w:rsid w:val="00C667CF"/>
    <w:rsid w:val="00C67A8A"/>
    <w:rsid w:val="00C70456"/>
    <w:rsid w:val="00C70BBE"/>
    <w:rsid w:val="00C70C9A"/>
    <w:rsid w:val="00C70F9A"/>
    <w:rsid w:val="00C713D2"/>
    <w:rsid w:val="00C715E2"/>
    <w:rsid w:val="00C7198D"/>
    <w:rsid w:val="00C72A48"/>
    <w:rsid w:val="00C72BA5"/>
    <w:rsid w:val="00C737AE"/>
    <w:rsid w:val="00C745DE"/>
    <w:rsid w:val="00C747DA"/>
    <w:rsid w:val="00C74C9E"/>
    <w:rsid w:val="00C75181"/>
    <w:rsid w:val="00C75402"/>
    <w:rsid w:val="00C754A4"/>
    <w:rsid w:val="00C75759"/>
    <w:rsid w:val="00C75D6E"/>
    <w:rsid w:val="00C76A71"/>
    <w:rsid w:val="00C76A96"/>
    <w:rsid w:val="00C76BBC"/>
    <w:rsid w:val="00C7712C"/>
    <w:rsid w:val="00C77628"/>
    <w:rsid w:val="00C7779D"/>
    <w:rsid w:val="00C778AC"/>
    <w:rsid w:val="00C77E81"/>
    <w:rsid w:val="00C80055"/>
    <w:rsid w:val="00C80162"/>
    <w:rsid w:val="00C80951"/>
    <w:rsid w:val="00C80AB6"/>
    <w:rsid w:val="00C80D80"/>
    <w:rsid w:val="00C818AB"/>
    <w:rsid w:val="00C81B2D"/>
    <w:rsid w:val="00C824BA"/>
    <w:rsid w:val="00C82A83"/>
    <w:rsid w:val="00C82B9B"/>
    <w:rsid w:val="00C83074"/>
    <w:rsid w:val="00C833C9"/>
    <w:rsid w:val="00C8360A"/>
    <w:rsid w:val="00C838DA"/>
    <w:rsid w:val="00C839F1"/>
    <w:rsid w:val="00C83DDE"/>
    <w:rsid w:val="00C83FE5"/>
    <w:rsid w:val="00C840B5"/>
    <w:rsid w:val="00C8414B"/>
    <w:rsid w:val="00C849C5"/>
    <w:rsid w:val="00C84F3F"/>
    <w:rsid w:val="00C84FC8"/>
    <w:rsid w:val="00C8530E"/>
    <w:rsid w:val="00C85682"/>
    <w:rsid w:val="00C8664D"/>
    <w:rsid w:val="00C866E3"/>
    <w:rsid w:val="00C869CA"/>
    <w:rsid w:val="00C86A30"/>
    <w:rsid w:val="00C875E6"/>
    <w:rsid w:val="00C87805"/>
    <w:rsid w:val="00C906E5"/>
    <w:rsid w:val="00C9080C"/>
    <w:rsid w:val="00C908DF"/>
    <w:rsid w:val="00C908F7"/>
    <w:rsid w:val="00C928C7"/>
    <w:rsid w:val="00C92C88"/>
    <w:rsid w:val="00C930C0"/>
    <w:rsid w:val="00C93C50"/>
    <w:rsid w:val="00C93D9A"/>
    <w:rsid w:val="00C93FDE"/>
    <w:rsid w:val="00C9416D"/>
    <w:rsid w:val="00C94F7E"/>
    <w:rsid w:val="00C954C0"/>
    <w:rsid w:val="00C960F5"/>
    <w:rsid w:val="00C96225"/>
    <w:rsid w:val="00C96796"/>
    <w:rsid w:val="00C96F30"/>
    <w:rsid w:val="00C971EA"/>
    <w:rsid w:val="00C97458"/>
    <w:rsid w:val="00C97783"/>
    <w:rsid w:val="00C978B7"/>
    <w:rsid w:val="00CA0189"/>
    <w:rsid w:val="00CA05DC"/>
    <w:rsid w:val="00CA09ED"/>
    <w:rsid w:val="00CA1031"/>
    <w:rsid w:val="00CA178E"/>
    <w:rsid w:val="00CA1D96"/>
    <w:rsid w:val="00CA1E0D"/>
    <w:rsid w:val="00CA25AC"/>
    <w:rsid w:val="00CA266F"/>
    <w:rsid w:val="00CA2EC1"/>
    <w:rsid w:val="00CA33E9"/>
    <w:rsid w:val="00CA34D8"/>
    <w:rsid w:val="00CA364D"/>
    <w:rsid w:val="00CA3A88"/>
    <w:rsid w:val="00CA3AE8"/>
    <w:rsid w:val="00CA3B4F"/>
    <w:rsid w:val="00CA3D06"/>
    <w:rsid w:val="00CA3D8B"/>
    <w:rsid w:val="00CA4484"/>
    <w:rsid w:val="00CA464D"/>
    <w:rsid w:val="00CA46A6"/>
    <w:rsid w:val="00CA4A01"/>
    <w:rsid w:val="00CA4D87"/>
    <w:rsid w:val="00CA5270"/>
    <w:rsid w:val="00CA61E2"/>
    <w:rsid w:val="00CA62B1"/>
    <w:rsid w:val="00CA6A17"/>
    <w:rsid w:val="00CA6D10"/>
    <w:rsid w:val="00CB058C"/>
    <w:rsid w:val="00CB0AF9"/>
    <w:rsid w:val="00CB0C58"/>
    <w:rsid w:val="00CB0F75"/>
    <w:rsid w:val="00CB116E"/>
    <w:rsid w:val="00CB271A"/>
    <w:rsid w:val="00CB2FED"/>
    <w:rsid w:val="00CB3BF3"/>
    <w:rsid w:val="00CB3CFD"/>
    <w:rsid w:val="00CB3FF9"/>
    <w:rsid w:val="00CB408C"/>
    <w:rsid w:val="00CB4448"/>
    <w:rsid w:val="00CB456E"/>
    <w:rsid w:val="00CB48F6"/>
    <w:rsid w:val="00CB55BE"/>
    <w:rsid w:val="00CB5A8B"/>
    <w:rsid w:val="00CB5C36"/>
    <w:rsid w:val="00CB5EDD"/>
    <w:rsid w:val="00CB6146"/>
    <w:rsid w:val="00CB739F"/>
    <w:rsid w:val="00CB778D"/>
    <w:rsid w:val="00CB77C2"/>
    <w:rsid w:val="00CB7C6B"/>
    <w:rsid w:val="00CB7EF9"/>
    <w:rsid w:val="00CC0E05"/>
    <w:rsid w:val="00CC0F2D"/>
    <w:rsid w:val="00CC0FE6"/>
    <w:rsid w:val="00CC1309"/>
    <w:rsid w:val="00CC1761"/>
    <w:rsid w:val="00CC1CA9"/>
    <w:rsid w:val="00CC27C6"/>
    <w:rsid w:val="00CC2C66"/>
    <w:rsid w:val="00CC351E"/>
    <w:rsid w:val="00CC4853"/>
    <w:rsid w:val="00CC49DE"/>
    <w:rsid w:val="00CC549E"/>
    <w:rsid w:val="00CC54F4"/>
    <w:rsid w:val="00CC5A50"/>
    <w:rsid w:val="00CC5D49"/>
    <w:rsid w:val="00CC6395"/>
    <w:rsid w:val="00CC668C"/>
    <w:rsid w:val="00CC6A3D"/>
    <w:rsid w:val="00CC6D84"/>
    <w:rsid w:val="00CC7817"/>
    <w:rsid w:val="00CC7BB6"/>
    <w:rsid w:val="00CC7DF9"/>
    <w:rsid w:val="00CD0149"/>
    <w:rsid w:val="00CD03BC"/>
    <w:rsid w:val="00CD0991"/>
    <w:rsid w:val="00CD14AB"/>
    <w:rsid w:val="00CD15F1"/>
    <w:rsid w:val="00CD241A"/>
    <w:rsid w:val="00CD2A7B"/>
    <w:rsid w:val="00CD2CF5"/>
    <w:rsid w:val="00CD31D9"/>
    <w:rsid w:val="00CD3368"/>
    <w:rsid w:val="00CD347C"/>
    <w:rsid w:val="00CD3B0D"/>
    <w:rsid w:val="00CD3E62"/>
    <w:rsid w:val="00CD4026"/>
    <w:rsid w:val="00CD4260"/>
    <w:rsid w:val="00CD483E"/>
    <w:rsid w:val="00CD5494"/>
    <w:rsid w:val="00CD5A05"/>
    <w:rsid w:val="00CD6073"/>
    <w:rsid w:val="00CD6139"/>
    <w:rsid w:val="00CD6300"/>
    <w:rsid w:val="00CD6528"/>
    <w:rsid w:val="00CD6621"/>
    <w:rsid w:val="00CD6C0C"/>
    <w:rsid w:val="00CD6C50"/>
    <w:rsid w:val="00CD6C8F"/>
    <w:rsid w:val="00CD6E6A"/>
    <w:rsid w:val="00CD7CF6"/>
    <w:rsid w:val="00CE06D2"/>
    <w:rsid w:val="00CE083C"/>
    <w:rsid w:val="00CE09A4"/>
    <w:rsid w:val="00CE0AA0"/>
    <w:rsid w:val="00CE0EC2"/>
    <w:rsid w:val="00CE1886"/>
    <w:rsid w:val="00CE28F7"/>
    <w:rsid w:val="00CE3220"/>
    <w:rsid w:val="00CE3924"/>
    <w:rsid w:val="00CE4039"/>
    <w:rsid w:val="00CE4107"/>
    <w:rsid w:val="00CE437E"/>
    <w:rsid w:val="00CE4BA9"/>
    <w:rsid w:val="00CE5187"/>
    <w:rsid w:val="00CE5601"/>
    <w:rsid w:val="00CE5EBB"/>
    <w:rsid w:val="00CE6391"/>
    <w:rsid w:val="00CE6E39"/>
    <w:rsid w:val="00CE70CC"/>
    <w:rsid w:val="00CE74E7"/>
    <w:rsid w:val="00CE77DD"/>
    <w:rsid w:val="00CE791B"/>
    <w:rsid w:val="00CF0082"/>
    <w:rsid w:val="00CF15EA"/>
    <w:rsid w:val="00CF207D"/>
    <w:rsid w:val="00CF249D"/>
    <w:rsid w:val="00CF28BF"/>
    <w:rsid w:val="00CF299F"/>
    <w:rsid w:val="00CF3AF8"/>
    <w:rsid w:val="00CF3E08"/>
    <w:rsid w:val="00CF447A"/>
    <w:rsid w:val="00CF4A5C"/>
    <w:rsid w:val="00CF55BA"/>
    <w:rsid w:val="00CF59F9"/>
    <w:rsid w:val="00CF5BEF"/>
    <w:rsid w:val="00CF5DBF"/>
    <w:rsid w:val="00CF5E98"/>
    <w:rsid w:val="00CF5F97"/>
    <w:rsid w:val="00CF62BA"/>
    <w:rsid w:val="00CF661E"/>
    <w:rsid w:val="00CF6BAE"/>
    <w:rsid w:val="00CF6DD0"/>
    <w:rsid w:val="00CF7743"/>
    <w:rsid w:val="00CF786B"/>
    <w:rsid w:val="00D000F1"/>
    <w:rsid w:val="00D00CC1"/>
    <w:rsid w:val="00D00E2A"/>
    <w:rsid w:val="00D01218"/>
    <w:rsid w:val="00D01360"/>
    <w:rsid w:val="00D01970"/>
    <w:rsid w:val="00D01E09"/>
    <w:rsid w:val="00D01FF9"/>
    <w:rsid w:val="00D02123"/>
    <w:rsid w:val="00D02268"/>
    <w:rsid w:val="00D02286"/>
    <w:rsid w:val="00D023D4"/>
    <w:rsid w:val="00D03B94"/>
    <w:rsid w:val="00D0428F"/>
    <w:rsid w:val="00D04DA6"/>
    <w:rsid w:val="00D04F63"/>
    <w:rsid w:val="00D0509D"/>
    <w:rsid w:val="00D05154"/>
    <w:rsid w:val="00D05661"/>
    <w:rsid w:val="00D05C50"/>
    <w:rsid w:val="00D06186"/>
    <w:rsid w:val="00D061C9"/>
    <w:rsid w:val="00D06338"/>
    <w:rsid w:val="00D06912"/>
    <w:rsid w:val="00D0692B"/>
    <w:rsid w:val="00D06BAA"/>
    <w:rsid w:val="00D0709B"/>
    <w:rsid w:val="00D070A5"/>
    <w:rsid w:val="00D07B97"/>
    <w:rsid w:val="00D10993"/>
    <w:rsid w:val="00D10CE5"/>
    <w:rsid w:val="00D110DD"/>
    <w:rsid w:val="00D12BFF"/>
    <w:rsid w:val="00D12C4F"/>
    <w:rsid w:val="00D12C55"/>
    <w:rsid w:val="00D13ABE"/>
    <w:rsid w:val="00D13BA9"/>
    <w:rsid w:val="00D13F42"/>
    <w:rsid w:val="00D14281"/>
    <w:rsid w:val="00D143C3"/>
    <w:rsid w:val="00D144E9"/>
    <w:rsid w:val="00D147F1"/>
    <w:rsid w:val="00D14AA3"/>
    <w:rsid w:val="00D14AF0"/>
    <w:rsid w:val="00D14CA2"/>
    <w:rsid w:val="00D15343"/>
    <w:rsid w:val="00D16B6E"/>
    <w:rsid w:val="00D16F13"/>
    <w:rsid w:val="00D17797"/>
    <w:rsid w:val="00D1790B"/>
    <w:rsid w:val="00D201BA"/>
    <w:rsid w:val="00D20EB1"/>
    <w:rsid w:val="00D21031"/>
    <w:rsid w:val="00D21E20"/>
    <w:rsid w:val="00D22282"/>
    <w:rsid w:val="00D226D9"/>
    <w:rsid w:val="00D22996"/>
    <w:rsid w:val="00D23032"/>
    <w:rsid w:val="00D23E2E"/>
    <w:rsid w:val="00D23F1A"/>
    <w:rsid w:val="00D23FB5"/>
    <w:rsid w:val="00D2419E"/>
    <w:rsid w:val="00D248C8"/>
    <w:rsid w:val="00D24F36"/>
    <w:rsid w:val="00D2551E"/>
    <w:rsid w:val="00D25872"/>
    <w:rsid w:val="00D25945"/>
    <w:rsid w:val="00D25B86"/>
    <w:rsid w:val="00D25DA8"/>
    <w:rsid w:val="00D26092"/>
    <w:rsid w:val="00D26139"/>
    <w:rsid w:val="00D26655"/>
    <w:rsid w:val="00D26AD7"/>
    <w:rsid w:val="00D2724F"/>
    <w:rsid w:val="00D27258"/>
    <w:rsid w:val="00D2776E"/>
    <w:rsid w:val="00D27B39"/>
    <w:rsid w:val="00D27BE5"/>
    <w:rsid w:val="00D27C76"/>
    <w:rsid w:val="00D27CF9"/>
    <w:rsid w:val="00D306CE"/>
    <w:rsid w:val="00D30CBF"/>
    <w:rsid w:val="00D30D21"/>
    <w:rsid w:val="00D3135C"/>
    <w:rsid w:val="00D31ADB"/>
    <w:rsid w:val="00D31ADF"/>
    <w:rsid w:val="00D31F5D"/>
    <w:rsid w:val="00D32789"/>
    <w:rsid w:val="00D32B76"/>
    <w:rsid w:val="00D32B9A"/>
    <w:rsid w:val="00D3367A"/>
    <w:rsid w:val="00D33771"/>
    <w:rsid w:val="00D33B78"/>
    <w:rsid w:val="00D33F77"/>
    <w:rsid w:val="00D34061"/>
    <w:rsid w:val="00D343BC"/>
    <w:rsid w:val="00D348CD"/>
    <w:rsid w:val="00D34D99"/>
    <w:rsid w:val="00D3513B"/>
    <w:rsid w:val="00D35876"/>
    <w:rsid w:val="00D3590A"/>
    <w:rsid w:val="00D365D6"/>
    <w:rsid w:val="00D367E0"/>
    <w:rsid w:val="00D368C3"/>
    <w:rsid w:val="00D368D8"/>
    <w:rsid w:val="00D377A1"/>
    <w:rsid w:val="00D3782B"/>
    <w:rsid w:val="00D37853"/>
    <w:rsid w:val="00D37907"/>
    <w:rsid w:val="00D40B55"/>
    <w:rsid w:val="00D415E7"/>
    <w:rsid w:val="00D41A24"/>
    <w:rsid w:val="00D41AB6"/>
    <w:rsid w:val="00D41D56"/>
    <w:rsid w:val="00D4221A"/>
    <w:rsid w:val="00D42284"/>
    <w:rsid w:val="00D42A7E"/>
    <w:rsid w:val="00D42D7A"/>
    <w:rsid w:val="00D440EB"/>
    <w:rsid w:val="00D454B2"/>
    <w:rsid w:val="00D45525"/>
    <w:rsid w:val="00D4567B"/>
    <w:rsid w:val="00D46838"/>
    <w:rsid w:val="00D4689C"/>
    <w:rsid w:val="00D46B01"/>
    <w:rsid w:val="00D46D4B"/>
    <w:rsid w:val="00D4727C"/>
    <w:rsid w:val="00D475BF"/>
    <w:rsid w:val="00D47ABD"/>
    <w:rsid w:val="00D501FC"/>
    <w:rsid w:val="00D509D0"/>
    <w:rsid w:val="00D50D44"/>
    <w:rsid w:val="00D50FEE"/>
    <w:rsid w:val="00D510F2"/>
    <w:rsid w:val="00D51442"/>
    <w:rsid w:val="00D51663"/>
    <w:rsid w:val="00D51A2A"/>
    <w:rsid w:val="00D51B68"/>
    <w:rsid w:val="00D52019"/>
    <w:rsid w:val="00D52D4B"/>
    <w:rsid w:val="00D54915"/>
    <w:rsid w:val="00D549CD"/>
    <w:rsid w:val="00D552C2"/>
    <w:rsid w:val="00D55A33"/>
    <w:rsid w:val="00D55A7E"/>
    <w:rsid w:val="00D55ED5"/>
    <w:rsid w:val="00D5612C"/>
    <w:rsid w:val="00D56430"/>
    <w:rsid w:val="00D56A5C"/>
    <w:rsid w:val="00D56BAB"/>
    <w:rsid w:val="00D571E9"/>
    <w:rsid w:val="00D57432"/>
    <w:rsid w:val="00D5755E"/>
    <w:rsid w:val="00D576D7"/>
    <w:rsid w:val="00D577DC"/>
    <w:rsid w:val="00D60312"/>
    <w:rsid w:val="00D603CF"/>
    <w:rsid w:val="00D609B0"/>
    <w:rsid w:val="00D60E40"/>
    <w:rsid w:val="00D60FD1"/>
    <w:rsid w:val="00D61146"/>
    <w:rsid w:val="00D61373"/>
    <w:rsid w:val="00D62252"/>
    <w:rsid w:val="00D6293C"/>
    <w:rsid w:val="00D6336E"/>
    <w:rsid w:val="00D63B9C"/>
    <w:rsid w:val="00D63DEC"/>
    <w:rsid w:val="00D64175"/>
    <w:rsid w:val="00D642A9"/>
    <w:rsid w:val="00D645B9"/>
    <w:rsid w:val="00D647DE"/>
    <w:rsid w:val="00D6495C"/>
    <w:rsid w:val="00D64A85"/>
    <w:rsid w:val="00D651F2"/>
    <w:rsid w:val="00D652AB"/>
    <w:rsid w:val="00D65747"/>
    <w:rsid w:val="00D65826"/>
    <w:rsid w:val="00D6591F"/>
    <w:rsid w:val="00D66CB1"/>
    <w:rsid w:val="00D673E8"/>
    <w:rsid w:val="00D673F9"/>
    <w:rsid w:val="00D67C6C"/>
    <w:rsid w:val="00D70155"/>
    <w:rsid w:val="00D70B36"/>
    <w:rsid w:val="00D70CED"/>
    <w:rsid w:val="00D711F7"/>
    <w:rsid w:val="00D7153F"/>
    <w:rsid w:val="00D71609"/>
    <w:rsid w:val="00D71A09"/>
    <w:rsid w:val="00D72727"/>
    <w:rsid w:val="00D73787"/>
    <w:rsid w:val="00D73961"/>
    <w:rsid w:val="00D73D79"/>
    <w:rsid w:val="00D74402"/>
    <w:rsid w:val="00D74542"/>
    <w:rsid w:val="00D74BB5"/>
    <w:rsid w:val="00D74D13"/>
    <w:rsid w:val="00D75129"/>
    <w:rsid w:val="00D752EE"/>
    <w:rsid w:val="00D754EE"/>
    <w:rsid w:val="00D760D6"/>
    <w:rsid w:val="00D764FE"/>
    <w:rsid w:val="00D779D6"/>
    <w:rsid w:val="00D77F6F"/>
    <w:rsid w:val="00D80218"/>
    <w:rsid w:val="00D8047E"/>
    <w:rsid w:val="00D804DC"/>
    <w:rsid w:val="00D8060D"/>
    <w:rsid w:val="00D80796"/>
    <w:rsid w:val="00D8103F"/>
    <w:rsid w:val="00D81077"/>
    <w:rsid w:val="00D81CEA"/>
    <w:rsid w:val="00D81D01"/>
    <w:rsid w:val="00D81DCF"/>
    <w:rsid w:val="00D81F38"/>
    <w:rsid w:val="00D827E4"/>
    <w:rsid w:val="00D8285E"/>
    <w:rsid w:val="00D82992"/>
    <w:rsid w:val="00D829D4"/>
    <w:rsid w:val="00D83A54"/>
    <w:rsid w:val="00D83EBF"/>
    <w:rsid w:val="00D8438C"/>
    <w:rsid w:val="00D84528"/>
    <w:rsid w:val="00D84661"/>
    <w:rsid w:val="00D84AA1"/>
    <w:rsid w:val="00D84D7F"/>
    <w:rsid w:val="00D8782F"/>
    <w:rsid w:val="00D87FC0"/>
    <w:rsid w:val="00D9027E"/>
    <w:rsid w:val="00D91381"/>
    <w:rsid w:val="00D9179B"/>
    <w:rsid w:val="00D91B5F"/>
    <w:rsid w:val="00D92770"/>
    <w:rsid w:val="00D92FBC"/>
    <w:rsid w:val="00D93228"/>
    <w:rsid w:val="00D93495"/>
    <w:rsid w:val="00D936F0"/>
    <w:rsid w:val="00D93948"/>
    <w:rsid w:val="00D941C5"/>
    <w:rsid w:val="00D947A0"/>
    <w:rsid w:val="00D94EE4"/>
    <w:rsid w:val="00D9532F"/>
    <w:rsid w:val="00D95DF4"/>
    <w:rsid w:val="00D973B4"/>
    <w:rsid w:val="00D978A9"/>
    <w:rsid w:val="00D978D1"/>
    <w:rsid w:val="00D97E22"/>
    <w:rsid w:val="00D97EB1"/>
    <w:rsid w:val="00D97F56"/>
    <w:rsid w:val="00DA001C"/>
    <w:rsid w:val="00DA0153"/>
    <w:rsid w:val="00DA051F"/>
    <w:rsid w:val="00DA070D"/>
    <w:rsid w:val="00DA07C4"/>
    <w:rsid w:val="00DA0A7F"/>
    <w:rsid w:val="00DA0CE5"/>
    <w:rsid w:val="00DA0EF3"/>
    <w:rsid w:val="00DA1180"/>
    <w:rsid w:val="00DA1744"/>
    <w:rsid w:val="00DA1811"/>
    <w:rsid w:val="00DA2012"/>
    <w:rsid w:val="00DA2AC2"/>
    <w:rsid w:val="00DA2C9C"/>
    <w:rsid w:val="00DA3368"/>
    <w:rsid w:val="00DA3810"/>
    <w:rsid w:val="00DA39B8"/>
    <w:rsid w:val="00DA3AF5"/>
    <w:rsid w:val="00DA3BAB"/>
    <w:rsid w:val="00DA3BC3"/>
    <w:rsid w:val="00DA3C90"/>
    <w:rsid w:val="00DA40C4"/>
    <w:rsid w:val="00DA4307"/>
    <w:rsid w:val="00DA4717"/>
    <w:rsid w:val="00DA4A7B"/>
    <w:rsid w:val="00DA5635"/>
    <w:rsid w:val="00DA589B"/>
    <w:rsid w:val="00DA5F4E"/>
    <w:rsid w:val="00DA6507"/>
    <w:rsid w:val="00DA67D7"/>
    <w:rsid w:val="00DA6FED"/>
    <w:rsid w:val="00DA718B"/>
    <w:rsid w:val="00DA7410"/>
    <w:rsid w:val="00DA7501"/>
    <w:rsid w:val="00DA7D36"/>
    <w:rsid w:val="00DB0835"/>
    <w:rsid w:val="00DB0CB6"/>
    <w:rsid w:val="00DB0E79"/>
    <w:rsid w:val="00DB0F43"/>
    <w:rsid w:val="00DB1DAE"/>
    <w:rsid w:val="00DB1E1B"/>
    <w:rsid w:val="00DB24A0"/>
    <w:rsid w:val="00DB2858"/>
    <w:rsid w:val="00DB2ABE"/>
    <w:rsid w:val="00DB2CAD"/>
    <w:rsid w:val="00DB36B8"/>
    <w:rsid w:val="00DB3877"/>
    <w:rsid w:val="00DB3AB2"/>
    <w:rsid w:val="00DB44A6"/>
    <w:rsid w:val="00DB47D5"/>
    <w:rsid w:val="00DB48F4"/>
    <w:rsid w:val="00DB4A20"/>
    <w:rsid w:val="00DB4C8E"/>
    <w:rsid w:val="00DB5803"/>
    <w:rsid w:val="00DB5B38"/>
    <w:rsid w:val="00DB5BED"/>
    <w:rsid w:val="00DB5CDF"/>
    <w:rsid w:val="00DB64F7"/>
    <w:rsid w:val="00DB6595"/>
    <w:rsid w:val="00DB71F4"/>
    <w:rsid w:val="00DB78DC"/>
    <w:rsid w:val="00DB7B31"/>
    <w:rsid w:val="00DC0114"/>
    <w:rsid w:val="00DC0272"/>
    <w:rsid w:val="00DC06F7"/>
    <w:rsid w:val="00DC0702"/>
    <w:rsid w:val="00DC18E8"/>
    <w:rsid w:val="00DC1D97"/>
    <w:rsid w:val="00DC209F"/>
    <w:rsid w:val="00DC238E"/>
    <w:rsid w:val="00DC28F4"/>
    <w:rsid w:val="00DC29F3"/>
    <w:rsid w:val="00DC2AA9"/>
    <w:rsid w:val="00DC2EA6"/>
    <w:rsid w:val="00DC30AC"/>
    <w:rsid w:val="00DC3681"/>
    <w:rsid w:val="00DC3747"/>
    <w:rsid w:val="00DC389C"/>
    <w:rsid w:val="00DC3E31"/>
    <w:rsid w:val="00DC486E"/>
    <w:rsid w:val="00DC4A05"/>
    <w:rsid w:val="00DC4E58"/>
    <w:rsid w:val="00DC5F4E"/>
    <w:rsid w:val="00DC63FD"/>
    <w:rsid w:val="00DC66DE"/>
    <w:rsid w:val="00DC6B36"/>
    <w:rsid w:val="00DC6EB2"/>
    <w:rsid w:val="00DC74F6"/>
    <w:rsid w:val="00DC7A7F"/>
    <w:rsid w:val="00DC7CAD"/>
    <w:rsid w:val="00DD05D3"/>
    <w:rsid w:val="00DD0B09"/>
    <w:rsid w:val="00DD0DBA"/>
    <w:rsid w:val="00DD125B"/>
    <w:rsid w:val="00DD1911"/>
    <w:rsid w:val="00DD21F4"/>
    <w:rsid w:val="00DD2339"/>
    <w:rsid w:val="00DD4305"/>
    <w:rsid w:val="00DD449A"/>
    <w:rsid w:val="00DD5AF6"/>
    <w:rsid w:val="00DD69D5"/>
    <w:rsid w:val="00DD6B66"/>
    <w:rsid w:val="00DD6E81"/>
    <w:rsid w:val="00DD77F2"/>
    <w:rsid w:val="00DD7810"/>
    <w:rsid w:val="00DD7D24"/>
    <w:rsid w:val="00DD7E8F"/>
    <w:rsid w:val="00DD7F51"/>
    <w:rsid w:val="00DE078A"/>
    <w:rsid w:val="00DE0DCC"/>
    <w:rsid w:val="00DE10C5"/>
    <w:rsid w:val="00DE1B4F"/>
    <w:rsid w:val="00DE1DA7"/>
    <w:rsid w:val="00DE1E52"/>
    <w:rsid w:val="00DE1FC9"/>
    <w:rsid w:val="00DE27AC"/>
    <w:rsid w:val="00DE28D1"/>
    <w:rsid w:val="00DE2A3A"/>
    <w:rsid w:val="00DE2C61"/>
    <w:rsid w:val="00DE2C81"/>
    <w:rsid w:val="00DE3A81"/>
    <w:rsid w:val="00DE3CC2"/>
    <w:rsid w:val="00DE456D"/>
    <w:rsid w:val="00DE4900"/>
    <w:rsid w:val="00DE4A8C"/>
    <w:rsid w:val="00DE4C6C"/>
    <w:rsid w:val="00DE5351"/>
    <w:rsid w:val="00DE5F37"/>
    <w:rsid w:val="00DE636C"/>
    <w:rsid w:val="00DE638E"/>
    <w:rsid w:val="00DE6857"/>
    <w:rsid w:val="00DE6E91"/>
    <w:rsid w:val="00DE6FB0"/>
    <w:rsid w:val="00DE70D6"/>
    <w:rsid w:val="00DE70E3"/>
    <w:rsid w:val="00DE73F1"/>
    <w:rsid w:val="00DE7978"/>
    <w:rsid w:val="00DE7D71"/>
    <w:rsid w:val="00DE7DDE"/>
    <w:rsid w:val="00DF06DF"/>
    <w:rsid w:val="00DF088B"/>
    <w:rsid w:val="00DF09E8"/>
    <w:rsid w:val="00DF1B47"/>
    <w:rsid w:val="00DF2720"/>
    <w:rsid w:val="00DF27AE"/>
    <w:rsid w:val="00DF2A47"/>
    <w:rsid w:val="00DF2CA4"/>
    <w:rsid w:val="00DF2FC0"/>
    <w:rsid w:val="00DF3689"/>
    <w:rsid w:val="00DF43B5"/>
    <w:rsid w:val="00DF4602"/>
    <w:rsid w:val="00DF4C43"/>
    <w:rsid w:val="00DF56A7"/>
    <w:rsid w:val="00DF5C7D"/>
    <w:rsid w:val="00DF620C"/>
    <w:rsid w:val="00E00143"/>
    <w:rsid w:val="00E0050C"/>
    <w:rsid w:val="00E00513"/>
    <w:rsid w:val="00E006A1"/>
    <w:rsid w:val="00E009C1"/>
    <w:rsid w:val="00E00D0B"/>
    <w:rsid w:val="00E01714"/>
    <w:rsid w:val="00E017B2"/>
    <w:rsid w:val="00E01B3E"/>
    <w:rsid w:val="00E02ED5"/>
    <w:rsid w:val="00E0312D"/>
    <w:rsid w:val="00E03B92"/>
    <w:rsid w:val="00E03ED3"/>
    <w:rsid w:val="00E040E3"/>
    <w:rsid w:val="00E042D4"/>
    <w:rsid w:val="00E04392"/>
    <w:rsid w:val="00E050A8"/>
    <w:rsid w:val="00E0529B"/>
    <w:rsid w:val="00E05342"/>
    <w:rsid w:val="00E05397"/>
    <w:rsid w:val="00E058BF"/>
    <w:rsid w:val="00E05CE5"/>
    <w:rsid w:val="00E06F3B"/>
    <w:rsid w:val="00E07511"/>
    <w:rsid w:val="00E07841"/>
    <w:rsid w:val="00E1051D"/>
    <w:rsid w:val="00E10819"/>
    <w:rsid w:val="00E10A0B"/>
    <w:rsid w:val="00E10FA9"/>
    <w:rsid w:val="00E1177C"/>
    <w:rsid w:val="00E11852"/>
    <w:rsid w:val="00E125F2"/>
    <w:rsid w:val="00E12A1B"/>
    <w:rsid w:val="00E12B3E"/>
    <w:rsid w:val="00E12BF7"/>
    <w:rsid w:val="00E13B8B"/>
    <w:rsid w:val="00E13D01"/>
    <w:rsid w:val="00E140BA"/>
    <w:rsid w:val="00E14207"/>
    <w:rsid w:val="00E149C8"/>
    <w:rsid w:val="00E14F02"/>
    <w:rsid w:val="00E15012"/>
    <w:rsid w:val="00E1526A"/>
    <w:rsid w:val="00E15503"/>
    <w:rsid w:val="00E15681"/>
    <w:rsid w:val="00E158F3"/>
    <w:rsid w:val="00E15C72"/>
    <w:rsid w:val="00E15E21"/>
    <w:rsid w:val="00E162E7"/>
    <w:rsid w:val="00E1786E"/>
    <w:rsid w:val="00E178AB"/>
    <w:rsid w:val="00E17BC2"/>
    <w:rsid w:val="00E200B3"/>
    <w:rsid w:val="00E20849"/>
    <w:rsid w:val="00E20D3D"/>
    <w:rsid w:val="00E20F6D"/>
    <w:rsid w:val="00E20F7F"/>
    <w:rsid w:val="00E21700"/>
    <w:rsid w:val="00E21D46"/>
    <w:rsid w:val="00E21EC7"/>
    <w:rsid w:val="00E22016"/>
    <w:rsid w:val="00E2204A"/>
    <w:rsid w:val="00E22161"/>
    <w:rsid w:val="00E22B9A"/>
    <w:rsid w:val="00E22E76"/>
    <w:rsid w:val="00E22FE0"/>
    <w:rsid w:val="00E235BE"/>
    <w:rsid w:val="00E2379F"/>
    <w:rsid w:val="00E23FFD"/>
    <w:rsid w:val="00E243D0"/>
    <w:rsid w:val="00E25098"/>
    <w:rsid w:val="00E262E6"/>
    <w:rsid w:val="00E26A71"/>
    <w:rsid w:val="00E26C47"/>
    <w:rsid w:val="00E26EF1"/>
    <w:rsid w:val="00E3046E"/>
    <w:rsid w:val="00E307C1"/>
    <w:rsid w:val="00E30CCD"/>
    <w:rsid w:val="00E319FE"/>
    <w:rsid w:val="00E31E51"/>
    <w:rsid w:val="00E32219"/>
    <w:rsid w:val="00E325A7"/>
    <w:rsid w:val="00E32B69"/>
    <w:rsid w:val="00E34153"/>
    <w:rsid w:val="00E3448F"/>
    <w:rsid w:val="00E345B9"/>
    <w:rsid w:val="00E34CE5"/>
    <w:rsid w:val="00E34E31"/>
    <w:rsid w:val="00E354EE"/>
    <w:rsid w:val="00E35BCD"/>
    <w:rsid w:val="00E365BF"/>
    <w:rsid w:val="00E3698C"/>
    <w:rsid w:val="00E36AAE"/>
    <w:rsid w:val="00E36BBD"/>
    <w:rsid w:val="00E36FD9"/>
    <w:rsid w:val="00E37358"/>
    <w:rsid w:val="00E374B3"/>
    <w:rsid w:val="00E40101"/>
    <w:rsid w:val="00E403F8"/>
    <w:rsid w:val="00E40539"/>
    <w:rsid w:val="00E406CF"/>
    <w:rsid w:val="00E40B54"/>
    <w:rsid w:val="00E416F2"/>
    <w:rsid w:val="00E41C74"/>
    <w:rsid w:val="00E424AC"/>
    <w:rsid w:val="00E42B92"/>
    <w:rsid w:val="00E42B96"/>
    <w:rsid w:val="00E4334A"/>
    <w:rsid w:val="00E4335D"/>
    <w:rsid w:val="00E43631"/>
    <w:rsid w:val="00E43820"/>
    <w:rsid w:val="00E438D0"/>
    <w:rsid w:val="00E4400D"/>
    <w:rsid w:val="00E4434E"/>
    <w:rsid w:val="00E449C3"/>
    <w:rsid w:val="00E45634"/>
    <w:rsid w:val="00E4574C"/>
    <w:rsid w:val="00E458A8"/>
    <w:rsid w:val="00E45909"/>
    <w:rsid w:val="00E45BC9"/>
    <w:rsid w:val="00E464A1"/>
    <w:rsid w:val="00E466F9"/>
    <w:rsid w:val="00E46F63"/>
    <w:rsid w:val="00E476D7"/>
    <w:rsid w:val="00E47FDF"/>
    <w:rsid w:val="00E5037B"/>
    <w:rsid w:val="00E50970"/>
    <w:rsid w:val="00E5098B"/>
    <w:rsid w:val="00E5099E"/>
    <w:rsid w:val="00E50A66"/>
    <w:rsid w:val="00E50D6C"/>
    <w:rsid w:val="00E517EE"/>
    <w:rsid w:val="00E51A92"/>
    <w:rsid w:val="00E51CA4"/>
    <w:rsid w:val="00E51E5E"/>
    <w:rsid w:val="00E52EF9"/>
    <w:rsid w:val="00E53560"/>
    <w:rsid w:val="00E53A2C"/>
    <w:rsid w:val="00E53BC1"/>
    <w:rsid w:val="00E5434A"/>
    <w:rsid w:val="00E545FB"/>
    <w:rsid w:val="00E54B86"/>
    <w:rsid w:val="00E54F58"/>
    <w:rsid w:val="00E55BEB"/>
    <w:rsid w:val="00E55F2B"/>
    <w:rsid w:val="00E56CBB"/>
    <w:rsid w:val="00E56F5C"/>
    <w:rsid w:val="00E601DC"/>
    <w:rsid w:val="00E6031F"/>
    <w:rsid w:val="00E60E75"/>
    <w:rsid w:val="00E611A9"/>
    <w:rsid w:val="00E617D5"/>
    <w:rsid w:val="00E61985"/>
    <w:rsid w:val="00E61B2C"/>
    <w:rsid w:val="00E625BC"/>
    <w:rsid w:val="00E6290A"/>
    <w:rsid w:val="00E631B2"/>
    <w:rsid w:val="00E63BFD"/>
    <w:rsid w:val="00E63E47"/>
    <w:rsid w:val="00E646B7"/>
    <w:rsid w:val="00E6483D"/>
    <w:rsid w:val="00E65448"/>
    <w:rsid w:val="00E65769"/>
    <w:rsid w:val="00E65D9F"/>
    <w:rsid w:val="00E65EC0"/>
    <w:rsid w:val="00E666ED"/>
    <w:rsid w:val="00E67110"/>
    <w:rsid w:val="00E67CB8"/>
    <w:rsid w:val="00E67D49"/>
    <w:rsid w:val="00E67D55"/>
    <w:rsid w:val="00E703CE"/>
    <w:rsid w:val="00E70E61"/>
    <w:rsid w:val="00E711FA"/>
    <w:rsid w:val="00E71642"/>
    <w:rsid w:val="00E7164F"/>
    <w:rsid w:val="00E71D59"/>
    <w:rsid w:val="00E7241F"/>
    <w:rsid w:val="00E72B0C"/>
    <w:rsid w:val="00E72F0A"/>
    <w:rsid w:val="00E73499"/>
    <w:rsid w:val="00E7351E"/>
    <w:rsid w:val="00E735E3"/>
    <w:rsid w:val="00E73A4D"/>
    <w:rsid w:val="00E73BC6"/>
    <w:rsid w:val="00E74591"/>
    <w:rsid w:val="00E746E9"/>
    <w:rsid w:val="00E74A9F"/>
    <w:rsid w:val="00E74ABC"/>
    <w:rsid w:val="00E7580A"/>
    <w:rsid w:val="00E76391"/>
    <w:rsid w:val="00E766C0"/>
    <w:rsid w:val="00E76881"/>
    <w:rsid w:val="00E76F23"/>
    <w:rsid w:val="00E77112"/>
    <w:rsid w:val="00E774B3"/>
    <w:rsid w:val="00E803B0"/>
    <w:rsid w:val="00E803F2"/>
    <w:rsid w:val="00E80789"/>
    <w:rsid w:val="00E80A1C"/>
    <w:rsid w:val="00E80B14"/>
    <w:rsid w:val="00E80DDE"/>
    <w:rsid w:val="00E81F5D"/>
    <w:rsid w:val="00E81F79"/>
    <w:rsid w:val="00E82350"/>
    <w:rsid w:val="00E82597"/>
    <w:rsid w:val="00E8299A"/>
    <w:rsid w:val="00E83247"/>
    <w:rsid w:val="00E83280"/>
    <w:rsid w:val="00E8347B"/>
    <w:rsid w:val="00E836B3"/>
    <w:rsid w:val="00E83712"/>
    <w:rsid w:val="00E837FB"/>
    <w:rsid w:val="00E838C6"/>
    <w:rsid w:val="00E8392E"/>
    <w:rsid w:val="00E83C38"/>
    <w:rsid w:val="00E83D03"/>
    <w:rsid w:val="00E84996"/>
    <w:rsid w:val="00E84D04"/>
    <w:rsid w:val="00E85182"/>
    <w:rsid w:val="00E8650F"/>
    <w:rsid w:val="00E86903"/>
    <w:rsid w:val="00E86D31"/>
    <w:rsid w:val="00E86F23"/>
    <w:rsid w:val="00E87244"/>
    <w:rsid w:val="00E8735B"/>
    <w:rsid w:val="00E87CBB"/>
    <w:rsid w:val="00E87D7F"/>
    <w:rsid w:val="00E90294"/>
    <w:rsid w:val="00E90403"/>
    <w:rsid w:val="00E91475"/>
    <w:rsid w:val="00E91BA7"/>
    <w:rsid w:val="00E91E24"/>
    <w:rsid w:val="00E91FC8"/>
    <w:rsid w:val="00E92105"/>
    <w:rsid w:val="00E921D5"/>
    <w:rsid w:val="00E925EA"/>
    <w:rsid w:val="00E92641"/>
    <w:rsid w:val="00E92855"/>
    <w:rsid w:val="00E928F4"/>
    <w:rsid w:val="00E92B23"/>
    <w:rsid w:val="00E9301B"/>
    <w:rsid w:val="00E93768"/>
    <w:rsid w:val="00E93F6A"/>
    <w:rsid w:val="00E94259"/>
    <w:rsid w:val="00E9484B"/>
    <w:rsid w:val="00E94D1B"/>
    <w:rsid w:val="00E95124"/>
    <w:rsid w:val="00E95DFA"/>
    <w:rsid w:val="00E96341"/>
    <w:rsid w:val="00E9642D"/>
    <w:rsid w:val="00E9653E"/>
    <w:rsid w:val="00E9659B"/>
    <w:rsid w:val="00E968DF"/>
    <w:rsid w:val="00E96D43"/>
    <w:rsid w:val="00E9780B"/>
    <w:rsid w:val="00E9797E"/>
    <w:rsid w:val="00E97BDC"/>
    <w:rsid w:val="00EA014F"/>
    <w:rsid w:val="00EA03E0"/>
    <w:rsid w:val="00EA0E02"/>
    <w:rsid w:val="00EA163A"/>
    <w:rsid w:val="00EA167A"/>
    <w:rsid w:val="00EA1B12"/>
    <w:rsid w:val="00EA2C6D"/>
    <w:rsid w:val="00EA3138"/>
    <w:rsid w:val="00EA331B"/>
    <w:rsid w:val="00EA37B3"/>
    <w:rsid w:val="00EA3850"/>
    <w:rsid w:val="00EA3CD4"/>
    <w:rsid w:val="00EA3F6F"/>
    <w:rsid w:val="00EA4077"/>
    <w:rsid w:val="00EA5247"/>
    <w:rsid w:val="00EA53B2"/>
    <w:rsid w:val="00EA56EA"/>
    <w:rsid w:val="00EA5832"/>
    <w:rsid w:val="00EA5BD2"/>
    <w:rsid w:val="00EA5CFE"/>
    <w:rsid w:val="00EA6482"/>
    <w:rsid w:val="00EA6C1F"/>
    <w:rsid w:val="00EA7FFE"/>
    <w:rsid w:val="00EB01A3"/>
    <w:rsid w:val="00EB0308"/>
    <w:rsid w:val="00EB0679"/>
    <w:rsid w:val="00EB0832"/>
    <w:rsid w:val="00EB08D1"/>
    <w:rsid w:val="00EB0914"/>
    <w:rsid w:val="00EB26ED"/>
    <w:rsid w:val="00EB291F"/>
    <w:rsid w:val="00EB2B52"/>
    <w:rsid w:val="00EB2BE1"/>
    <w:rsid w:val="00EB3020"/>
    <w:rsid w:val="00EB3A03"/>
    <w:rsid w:val="00EB416A"/>
    <w:rsid w:val="00EB4BC9"/>
    <w:rsid w:val="00EB4C66"/>
    <w:rsid w:val="00EB4FD9"/>
    <w:rsid w:val="00EB520C"/>
    <w:rsid w:val="00EB52C7"/>
    <w:rsid w:val="00EB5738"/>
    <w:rsid w:val="00EB5BE7"/>
    <w:rsid w:val="00EB5F63"/>
    <w:rsid w:val="00EB6A40"/>
    <w:rsid w:val="00EB6A8C"/>
    <w:rsid w:val="00EB6B3F"/>
    <w:rsid w:val="00EB7952"/>
    <w:rsid w:val="00EB7DE5"/>
    <w:rsid w:val="00EB7EA0"/>
    <w:rsid w:val="00EB7FE5"/>
    <w:rsid w:val="00EC06DC"/>
    <w:rsid w:val="00EC071C"/>
    <w:rsid w:val="00EC0752"/>
    <w:rsid w:val="00EC0945"/>
    <w:rsid w:val="00EC0DB8"/>
    <w:rsid w:val="00EC1770"/>
    <w:rsid w:val="00EC1EB2"/>
    <w:rsid w:val="00EC27E9"/>
    <w:rsid w:val="00EC2CCF"/>
    <w:rsid w:val="00EC4A71"/>
    <w:rsid w:val="00EC4D34"/>
    <w:rsid w:val="00EC50DA"/>
    <w:rsid w:val="00EC573B"/>
    <w:rsid w:val="00EC5B9E"/>
    <w:rsid w:val="00EC5E36"/>
    <w:rsid w:val="00EC5FC9"/>
    <w:rsid w:val="00EC60AA"/>
    <w:rsid w:val="00EC7578"/>
    <w:rsid w:val="00ED0B4E"/>
    <w:rsid w:val="00ED0F1A"/>
    <w:rsid w:val="00ED138A"/>
    <w:rsid w:val="00ED183B"/>
    <w:rsid w:val="00ED1A9F"/>
    <w:rsid w:val="00ED1AAA"/>
    <w:rsid w:val="00ED21E5"/>
    <w:rsid w:val="00ED240D"/>
    <w:rsid w:val="00ED2C99"/>
    <w:rsid w:val="00ED2F2D"/>
    <w:rsid w:val="00ED3048"/>
    <w:rsid w:val="00ED30AB"/>
    <w:rsid w:val="00ED3F2D"/>
    <w:rsid w:val="00ED47FC"/>
    <w:rsid w:val="00ED48C6"/>
    <w:rsid w:val="00ED5CE5"/>
    <w:rsid w:val="00ED6051"/>
    <w:rsid w:val="00ED607A"/>
    <w:rsid w:val="00ED7869"/>
    <w:rsid w:val="00EE1529"/>
    <w:rsid w:val="00EE1A3B"/>
    <w:rsid w:val="00EE1DA5"/>
    <w:rsid w:val="00EE276A"/>
    <w:rsid w:val="00EE2957"/>
    <w:rsid w:val="00EE2AE2"/>
    <w:rsid w:val="00EE2C64"/>
    <w:rsid w:val="00EE32A0"/>
    <w:rsid w:val="00EE345B"/>
    <w:rsid w:val="00EE3645"/>
    <w:rsid w:val="00EE3773"/>
    <w:rsid w:val="00EE39A0"/>
    <w:rsid w:val="00EE43F4"/>
    <w:rsid w:val="00EE461F"/>
    <w:rsid w:val="00EE552E"/>
    <w:rsid w:val="00EE5893"/>
    <w:rsid w:val="00EE6A0C"/>
    <w:rsid w:val="00EE71B7"/>
    <w:rsid w:val="00EE7404"/>
    <w:rsid w:val="00EE772D"/>
    <w:rsid w:val="00EF02E6"/>
    <w:rsid w:val="00EF06D6"/>
    <w:rsid w:val="00EF0CCE"/>
    <w:rsid w:val="00EF0D08"/>
    <w:rsid w:val="00EF10D2"/>
    <w:rsid w:val="00EF119F"/>
    <w:rsid w:val="00EF14D9"/>
    <w:rsid w:val="00EF1542"/>
    <w:rsid w:val="00EF1FD9"/>
    <w:rsid w:val="00EF20DF"/>
    <w:rsid w:val="00EF2291"/>
    <w:rsid w:val="00EF2C0A"/>
    <w:rsid w:val="00EF2EA7"/>
    <w:rsid w:val="00EF3798"/>
    <w:rsid w:val="00EF3973"/>
    <w:rsid w:val="00EF4BCC"/>
    <w:rsid w:val="00EF4FD9"/>
    <w:rsid w:val="00EF50C2"/>
    <w:rsid w:val="00EF50D9"/>
    <w:rsid w:val="00EF5E82"/>
    <w:rsid w:val="00EF5F7B"/>
    <w:rsid w:val="00EF65FD"/>
    <w:rsid w:val="00EF6DFE"/>
    <w:rsid w:val="00EF7635"/>
    <w:rsid w:val="00EF7BDF"/>
    <w:rsid w:val="00EF7DC9"/>
    <w:rsid w:val="00F0007F"/>
    <w:rsid w:val="00F00A3F"/>
    <w:rsid w:val="00F00CB2"/>
    <w:rsid w:val="00F00D7A"/>
    <w:rsid w:val="00F019F8"/>
    <w:rsid w:val="00F01A90"/>
    <w:rsid w:val="00F020EC"/>
    <w:rsid w:val="00F02569"/>
    <w:rsid w:val="00F02C8B"/>
    <w:rsid w:val="00F02EB6"/>
    <w:rsid w:val="00F030E6"/>
    <w:rsid w:val="00F034BD"/>
    <w:rsid w:val="00F03B87"/>
    <w:rsid w:val="00F03B8C"/>
    <w:rsid w:val="00F0408E"/>
    <w:rsid w:val="00F049C6"/>
    <w:rsid w:val="00F04C99"/>
    <w:rsid w:val="00F0503E"/>
    <w:rsid w:val="00F0567B"/>
    <w:rsid w:val="00F05FFD"/>
    <w:rsid w:val="00F06430"/>
    <w:rsid w:val="00F10A7A"/>
    <w:rsid w:val="00F10B1F"/>
    <w:rsid w:val="00F10D5C"/>
    <w:rsid w:val="00F10E0F"/>
    <w:rsid w:val="00F1134E"/>
    <w:rsid w:val="00F11890"/>
    <w:rsid w:val="00F11EFF"/>
    <w:rsid w:val="00F12A61"/>
    <w:rsid w:val="00F12F5F"/>
    <w:rsid w:val="00F1341B"/>
    <w:rsid w:val="00F13FB4"/>
    <w:rsid w:val="00F14013"/>
    <w:rsid w:val="00F14327"/>
    <w:rsid w:val="00F1547A"/>
    <w:rsid w:val="00F15AC7"/>
    <w:rsid w:val="00F1626E"/>
    <w:rsid w:val="00F16523"/>
    <w:rsid w:val="00F16EC2"/>
    <w:rsid w:val="00F1739D"/>
    <w:rsid w:val="00F17445"/>
    <w:rsid w:val="00F17F14"/>
    <w:rsid w:val="00F17F74"/>
    <w:rsid w:val="00F20662"/>
    <w:rsid w:val="00F20721"/>
    <w:rsid w:val="00F20CC7"/>
    <w:rsid w:val="00F20F83"/>
    <w:rsid w:val="00F21A98"/>
    <w:rsid w:val="00F21CEA"/>
    <w:rsid w:val="00F21F15"/>
    <w:rsid w:val="00F2202B"/>
    <w:rsid w:val="00F2205C"/>
    <w:rsid w:val="00F22BCA"/>
    <w:rsid w:val="00F2360F"/>
    <w:rsid w:val="00F2436A"/>
    <w:rsid w:val="00F246D9"/>
    <w:rsid w:val="00F24BB9"/>
    <w:rsid w:val="00F24ED0"/>
    <w:rsid w:val="00F25328"/>
    <w:rsid w:val="00F26BB7"/>
    <w:rsid w:val="00F27265"/>
    <w:rsid w:val="00F27326"/>
    <w:rsid w:val="00F27655"/>
    <w:rsid w:val="00F27D70"/>
    <w:rsid w:val="00F27E31"/>
    <w:rsid w:val="00F27F02"/>
    <w:rsid w:val="00F3027B"/>
    <w:rsid w:val="00F3063A"/>
    <w:rsid w:val="00F307EB"/>
    <w:rsid w:val="00F313F0"/>
    <w:rsid w:val="00F31737"/>
    <w:rsid w:val="00F31D9F"/>
    <w:rsid w:val="00F32245"/>
    <w:rsid w:val="00F323DA"/>
    <w:rsid w:val="00F32554"/>
    <w:rsid w:val="00F33623"/>
    <w:rsid w:val="00F33BD9"/>
    <w:rsid w:val="00F34405"/>
    <w:rsid w:val="00F34512"/>
    <w:rsid w:val="00F3481C"/>
    <w:rsid w:val="00F34B1B"/>
    <w:rsid w:val="00F3554F"/>
    <w:rsid w:val="00F35CA9"/>
    <w:rsid w:val="00F35CED"/>
    <w:rsid w:val="00F35FB8"/>
    <w:rsid w:val="00F36265"/>
    <w:rsid w:val="00F366CF"/>
    <w:rsid w:val="00F369F8"/>
    <w:rsid w:val="00F36CCE"/>
    <w:rsid w:val="00F36E7A"/>
    <w:rsid w:val="00F37677"/>
    <w:rsid w:val="00F3768D"/>
    <w:rsid w:val="00F40398"/>
    <w:rsid w:val="00F403AE"/>
    <w:rsid w:val="00F40AC0"/>
    <w:rsid w:val="00F40D16"/>
    <w:rsid w:val="00F41140"/>
    <w:rsid w:val="00F41186"/>
    <w:rsid w:val="00F41ADC"/>
    <w:rsid w:val="00F41B88"/>
    <w:rsid w:val="00F41BF1"/>
    <w:rsid w:val="00F424EF"/>
    <w:rsid w:val="00F4261E"/>
    <w:rsid w:val="00F42E44"/>
    <w:rsid w:val="00F4362D"/>
    <w:rsid w:val="00F43E0E"/>
    <w:rsid w:val="00F442C5"/>
    <w:rsid w:val="00F44CEA"/>
    <w:rsid w:val="00F44FBE"/>
    <w:rsid w:val="00F456E2"/>
    <w:rsid w:val="00F4586D"/>
    <w:rsid w:val="00F45BCF"/>
    <w:rsid w:val="00F45C90"/>
    <w:rsid w:val="00F45E7D"/>
    <w:rsid w:val="00F46677"/>
    <w:rsid w:val="00F46BA5"/>
    <w:rsid w:val="00F46D78"/>
    <w:rsid w:val="00F47237"/>
    <w:rsid w:val="00F5008D"/>
    <w:rsid w:val="00F50441"/>
    <w:rsid w:val="00F50514"/>
    <w:rsid w:val="00F50F65"/>
    <w:rsid w:val="00F5218C"/>
    <w:rsid w:val="00F525B0"/>
    <w:rsid w:val="00F54289"/>
    <w:rsid w:val="00F54A21"/>
    <w:rsid w:val="00F54A47"/>
    <w:rsid w:val="00F54B49"/>
    <w:rsid w:val="00F55007"/>
    <w:rsid w:val="00F55538"/>
    <w:rsid w:val="00F559A4"/>
    <w:rsid w:val="00F56786"/>
    <w:rsid w:val="00F567E8"/>
    <w:rsid w:val="00F57774"/>
    <w:rsid w:val="00F603ED"/>
    <w:rsid w:val="00F60B31"/>
    <w:rsid w:val="00F60BC9"/>
    <w:rsid w:val="00F610F5"/>
    <w:rsid w:val="00F618FD"/>
    <w:rsid w:val="00F61EEE"/>
    <w:rsid w:val="00F6253D"/>
    <w:rsid w:val="00F62F22"/>
    <w:rsid w:val="00F62F6F"/>
    <w:rsid w:val="00F6316A"/>
    <w:rsid w:val="00F632DE"/>
    <w:rsid w:val="00F63566"/>
    <w:rsid w:val="00F63B64"/>
    <w:rsid w:val="00F64117"/>
    <w:rsid w:val="00F64ADC"/>
    <w:rsid w:val="00F64C6E"/>
    <w:rsid w:val="00F653F7"/>
    <w:rsid w:val="00F65CA8"/>
    <w:rsid w:val="00F65E23"/>
    <w:rsid w:val="00F66071"/>
    <w:rsid w:val="00F66C0B"/>
    <w:rsid w:val="00F66C61"/>
    <w:rsid w:val="00F67110"/>
    <w:rsid w:val="00F67684"/>
    <w:rsid w:val="00F67AE8"/>
    <w:rsid w:val="00F67B7C"/>
    <w:rsid w:val="00F67DBA"/>
    <w:rsid w:val="00F700CC"/>
    <w:rsid w:val="00F705E8"/>
    <w:rsid w:val="00F7104E"/>
    <w:rsid w:val="00F71E3F"/>
    <w:rsid w:val="00F720A0"/>
    <w:rsid w:val="00F72412"/>
    <w:rsid w:val="00F7266F"/>
    <w:rsid w:val="00F72ADB"/>
    <w:rsid w:val="00F72EB7"/>
    <w:rsid w:val="00F73057"/>
    <w:rsid w:val="00F73F01"/>
    <w:rsid w:val="00F746CB"/>
    <w:rsid w:val="00F750FF"/>
    <w:rsid w:val="00F75290"/>
    <w:rsid w:val="00F7589D"/>
    <w:rsid w:val="00F7593B"/>
    <w:rsid w:val="00F75F0C"/>
    <w:rsid w:val="00F75FC8"/>
    <w:rsid w:val="00F76280"/>
    <w:rsid w:val="00F76406"/>
    <w:rsid w:val="00F76769"/>
    <w:rsid w:val="00F76AEA"/>
    <w:rsid w:val="00F77D50"/>
    <w:rsid w:val="00F801EF"/>
    <w:rsid w:val="00F8022D"/>
    <w:rsid w:val="00F80520"/>
    <w:rsid w:val="00F805F8"/>
    <w:rsid w:val="00F80707"/>
    <w:rsid w:val="00F80B6D"/>
    <w:rsid w:val="00F80FD0"/>
    <w:rsid w:val="00F824CE"/>
    <w:rsid w:val="00F84F5C"/>
    <w:rsid w:val="00F85063"/>
    <w:rsid w:val="00F85613"/>
    <w:rsid w:val="00F85F6B"/>
    <w:rsid w:val="00F8668E"/>
    <w:rsid w:val="00F870F9"/>
    <w:rsid w:val="00F871FB"/>
    <w:rsid w:val="00F87698"/>
    <w:rsid w:val="00F87733"/>
    <w:rsid w:val="00F87A75"/>
    <w:rsid w:val="00F90555"/>
    <w:rsid w:val="00F90930"/>
    <w:rsid w:val="00F90A25"/>
    <w:rsid w:val="00F91007"/>
    <w:rsid w:val="00F91905"/>
    <w:rsid w:val="00F91A56"/>
    <w:rsid w:val="00F92801"/>
    <w:rsid w:val="00F929AB"/>
    <w:rsid w:val="00F92CD7"/>
    <w:rsid w:val="00F9357D"/>
    <w:rsid w:val="00F937FF"/>
    <w:rsid w:val="00F940DF"/>
    <w:rsid w:val="00F94146"/>
    <w:rsid w:val="00F94184"/>
    <w:rsid w:val="00F94509"/>
    <w:rsid w:val="00F94DBD"/>
    <w:rsid w:val="00F94E87"/>
    <w:rsid w:val="00F95B7D"/>
    <w:rsid w:val="00F95C03"/>
    <w:rsid w:val="00F95DDD"/>
    <w:rsid w:val="00F969B3"/>
    <w:rsid w:val="00F96AFE"/>
    <w:rsid w:val="00F96C89"/>
    <w:rsid w:val="00F972FB"/>
    <w:rsid w:val="00F9753B"/>
    <w:rsid w:val="00F97C03"/>
    <w:rsid w:val="00F97E65"/>
    <w:rsid w:val="00FA0EA5"/>
    <w:rsid w:val="00FA1147"/>
    <w:rsid w:val="00FA1160"/>
    <w:rsid w:val="00FA16CF"/>
    <w:rsid w:val="00FA21CE"/>
    <w:rsid w:val="00FA2230"/>
    <w:rsid w:val="00FA2417"/>
    <w:rsid w:val="00FA28D4"/>
    <w:rsid w:val="00FA3228"/>
    <w:rsid w:val="00FA3304"/>
    <w:rsid w:val="00FA3FEC"/>
    <w:rsid w:val="00FA4FCB"/>
    <w:rsid w:val="00FA5049"/>
    <w:rsid w:val="00FA6AC7"/>
    <w:rsid w:val="00FA7428"/>
    <w:rsid w:val="00FA7876"/>
    <w:rsid w:val="00FB009E"/>
    <w:rsid w:val="00FB0A05"/>
    <w:rsid w:val="00FB1410"/>
    <w:rsid w:val="00FB1435"/>
    <w:rsid w:val="00FB1558"/>
    <w:rsid w:val="00FB1865"/>
    <w:rsid w:val="00FB1D28"/>
    <w:rsid w:val="00FB23F6"/>
    <w:rsid w:val="00FB253A"/>
    <w:rsid w:val="00FB296F"/>
    <w:rsid w:val="00FB318F"/>
    <w:rsid w:val="00FB3D4D"/>
    <w:rsid w:val="00FB3F05"/>
    <w:rsid w:val="00FB4242"/>
    <w:rsid w:val="00FB45A9"/>
    <w:rsid w:val="00FB45F2"/>
    <w:rsid w:val="00FB491C"/>
    <w:rsid w:val="00FB49EF"/>
    <w:rsid w:val="00FB4B30"/>
    <w:rsid w:val="00FB4CEE"/>
    <w:rsid w:val="00FB4D95"/>
    <w:rsid w:val="00FB53DE"/>
    <w:rsid w:val="00FB5B18"/>
    <w:rsid w:val="00FB65AC"/>
    <w:rsid w:val="00FB676C"/>
    <w:rsid w:val="00FB67CB"/>
    <w:rsid w:val="00FB695F"/>
    <w:rsid w:val="00FB6B3D"/>
    <w:rsid w:val="00FB6FAD"/>
    <w:rsid w:val="00FB70A3"/>
    <w:rsid w:val="00FB7333"/>
    <w:rsid w:val="00FB7CBC"/>
    <w:rsid w:val="00FB7FEF"/>
    <w:rsid w:val="00FC0F9F"/>
    <w:rsid w:val="00FC15C2"/>
    <w:rsid w:val="00FC2CE8"/>
    <w:rsid w:val="00FC2F42"/>
    <w:rsid w:val="00FC3B6F"/>
    <w:rsid w:val="00FC3DB5"/>
    <w:rsid w:val="00FC406A"/>
    <w:rsid w:val="00FC45BB"/>
    <w:rsid w:val="00FC4BED"/>
    <w:rsid w:val="00FC4CB2"/>
    <w:rsid w:val="00FC571D"/>
    <w:rsid w:val="00FC571F"/>
    <w:rsid w:val="00FC582E"/>
    <w:rsid w:val="00FC5DED"/>
    <w:rsid w:val="00FC627B"/>
    <w:rsid w:val="00FC6333"/>
    <w:rsid w:val="00FC6767"/>
    <w:rsid w:val="00FC6D03"/>
    <w:rsid w:val="00FC7611"/>
    <w:rsid w:val="00FC7613"/>
    <w:rsid w:val="00FD00D8"/>
    <w:rsid w:val="00FD047A"/>
    <w:rsid w:val="00FD04F7"/>
    <w:rsid w:val="00FD05EC"/>
    <w:rsid w:val="00FD076F"/>
    <w:rsid w:val="00FD095B"/>
    <w:rsid w:val="00FD0BF7"/>
    <w:rsid w:val="00FD17DF"/>
    <w:rsid w:val="00FD1807"/>
    <w:rsid w:val="00FD1A4C"/>
    <w:rsid w:val="00FD1E3E"/>
    <w:rsid w:val="00FD25D3"/>
    <w:rsid w:val="00FD2894"/>
    <w:rsid w:val="00FD3605"/>
    <w:rsid w:val="00FD4728"/>
    <w:rsid w:val="00FD482B"/>
    <w:rsid w:val="00FD4F9B"/>
    <w:rsid w:val="00FD5190"/>
    <w:rsid w:val="00FD5A7B"/>
    <w:rsid w:val="00FD63BA"/>
    <w:rsid w:val="00FD63E9"/>
    <w:rsid w:val="00FD686D"/>
    <w:rsid w:val="00FD75D3"/>
    <w:rsid w:val="00FD782B"/>
    <w:rsid w:val="00FD7F83"/>
    <w:rsid w:val="00FE077E"/>
    <w:rsid w:val="00FE0CC4"/>
    <w:rsid w:val="00FE10E2"/>
    <w:rsid w:val="00FE1168"/>
    <w:rsid w:val="00FE17DC"/>
    <w:rsid w:val="00FE222D"/>
    <w:rsid w:val="00FE2705"/>
    <w:rsid w:val="00FE2DDE"/>
    <w:rsid w:val="00FE2FDA"/>
    <w:rsid w:val="00FE33B2"/>
    <w:rsid w:val="00FE3B8D"/>
    <w:rsid w:val="00FE3EA7"/>
    <w:rsid w:val="00FE4EC9"/>
    <w:rsid w:val="00FE50DE"/>
    <w:rsid w:val="00FE5176"/>
    <w:rsid w:val="00FE58BF"/>
    <w:rsid w:val="00FE618C"/>
    <w:rsid w:val="00FE62D6"/>
    <w:rsid w:val="00FE74A8"/>
    <w:rsid w:val="00FE7913"/>
    <w:rsid w:val="00FE7AA3"/>
    <w:rsid w:val="00FE7AE2"/>
    <w:rsid w:val="00FF0215"/>
    <w:rsid w:val="00FF038A"/>
    <w:rsid w:val="00FF040E"/>
    <w:rsid w:val="00FF18D3"/>
    <w:rsid w:val="00FF1A6D"/>
    <w:rsid w:val="00FF2620"/>
    <w:rsid w:val="00FF2D1A"/>
    <w:rsid w:val="00FF2E6E"/>
    <w:rsid w:val="00FF2F60"/>
    <w:rsid w:val="00FF3049"/>
    <w:rsid w:val="00FF36AB"/>
    <w:rsid w:val="00FF393A"/>
    <w:rsid w:val="00FF3C18"/>
    <w:rsid w:val="00FF4003"/>
    <w:rsid w:val="00FF423E"/>
    <w:rsid w:val="00FF4558"/>
    <w:rsid w:val="00FF4C16"/>
    <w:rsid w:val="00FF4D5F"/>
    <w:rsid w:val="00FF539D"/>
    <w:rsid w:val="00FF57E7"/>
    <w:rsid w:val="00FF5CA8"/>
    <w:rsid w:val="00FF6072"/>
    <w:rsid w:val="00FF6688"/>
    <w:rsid w:val="00FF6A96"/>
    <w:rsid w:val="00FF7A64"/>
    <w:rsid w:val="0E575972"/>
    <w:rsid w:val="27DD150C"/>
    <w:rsid w:val="29719D96"/>
    <w:rsid w:val="2A920D26"/>
    <w:rsid w:val="31BA481F"/>
    <w:rsid w:val="3644E9E9"/>
    <w:rsid w:val="3940A682"/>
    <w:rsid w:val="440BC372"/>
    <w:rsid w:val="5208443F"/>
    <w:rsid w:val="5CD17541"/>
    <w:rsid w:val="603F7612"/>
    <w:rsid w:val="631CDD6F"/>
    <w:rsid w:val="6C0796C0"/>
    <w:rsid w:val="7181B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5F98C"/>
  <w15:chartTrackingRefBased/>
  <w15:docId w15:val="{B3B8837B-BE00-4E5F-B0E9-80CF7D62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2" w:unhideWhenUsed="1" w:qFormat="1"/>
    <w:lsdException w:name="heading 3" w:locked="0" w:semiHidden="1" w:uiPriority="3" w:unhideWhenUsed="1" w:qFormat="1"/>
    <w:lsdException w:name="heading 4" w:locked="0" w:semiHidden="1" w:uiPriority="4" w:unhideWhenUsed="1" w:qFormat="1"/>
    <w:lsdException w:name="heading 5" w:locked="0" w:semiHidden="1" w:uiPriority="5" w:unhideWhenUsed="1" w:qFormat="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lsdException w:name="annotation text" w:locked="0" w:semiHidden="1"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locked="0" w:semiHidden="1" w:uiPriority="9"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lsdException w:name="List Number 2" w:locked="0" w:semiHidden="1" w:unhideWhenUsed="1" w:qFormat="1"/>
    <w:lsdException w:name="List Number 3" w:locked="0" w:semiHidden="1" w:unhideWhenUsed="1" w:qFormat="1"/>
    <w:lsdException w:name="List Number 4" w:locked="0" w:semiHidden="1" w:unhideWhenUsed="1" w:qFormat="1"/>
    <w:lsdException w:name="List Number 5" w:locked="0" w:semiHidden="1" w:unhideWhenUsed="1"/>
    <w:lsdException w:name="Title" w:locked="0"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qFormat="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qFormat="1"/>
    <w:lsdException w:name="Bibliography" w:semiHidden="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11328"/>
    <w:pPr>
      <w:keepLines/>
      <w:spacing w:before="100" w:beforeAutospacing="1" w:line="276" w:lineRule="auto"/>
    </w:pPr>
    <w:rPr>
      <w:rFonts w:ascii="Arial" w:hAnsi="Arial"/>
      <w:sz w:val="28"/>
      <w:lang w:val="en-CA"/>
    </w:rPr>
  </w:style>
  <w:style w:type="paragraph" w:styleId="Heading1">
    <w:name w:val="heading 1"/>
    <w:basedOn w:val="Normal"/>
    <w:next w:val="Normal"/>
    <w:link w:val="Heading1Char"/>
    <w:uiPriority w:val="1"/>
    <w:qFormat/>
    <w:rsid w:val="00603F2A"/>
    <w:pPr>
      <w:keepNext/>
      <w:numPr>
        <w:numId w:val="3"/>
      </w:numPr>
      <w:spacing w:after="80" w:line="240" w:lineRule="auto"/>
      <w:ind w:left="737" w:hanging="737"/>
      <w:outlineLvl w:val="0"/>
    </w:pPr>
    <w:rPr>
      <w:rFonts w:eastAsiaTheme="majorEastAsia" w:cstheme="majorBidi"/>
      <w:b/>
      <w:sz w:val="56"/>
      <w:szCs w:val="32"/>
    </w:rPr>
  </w:style>
  <w:style w:type="paragraph" w:styleId="Heading2">
    <w:name w:val="heading 2"/>
    <w:aliases w:val="Cls Heading Lvl2"/>
    <w:basedOn w:val="Normal"/>
    <w:next w:val="Normal"/>
    <w:link w:val="Heading2Char"/>
    <w:uiPriority w:val="2"/>
    <w:qFormat/>
    <w:rsid w:val="00603F2A"/>
    <w:pPr>
      <w:keepNext/>
      <w:numPr>
        <w:ilvl w:val="1"/>
        <w:numId w:val="3"/>
      </w:numPr>
      <w:spacing w:after="80" w:line="240" w:lineRule="auto"/>
      <w:ind w:left="794" w:hanging="794"/>
      <w:outlineLvl w:val="1"/>
    </w:pPr>
    <w:rPr>
      <w:rFonts w:eastAsiaTheme="majorEastAsia" w:cstheme="majorBidi"/>
      <w:b/>
      <w:sz w:val="48"/>
      <w:szCs w:val="26"/>
    </w:rPr>
  </w:style>
  <w:style w:type="paragraph" w:styleId="Heading3">
    <w:name w:val="heading 3"/>
    <w:basedOn w:val="Normal"/>
    <w:next w:val="Normal"/>
    <w:link w:val="Heading3Char"/>
    <w:uiPriority w:val="3"/>
    <w:qFormat/>
    <w:rsid w:val="00603F2A"/>
    <w:pPr>
      <w:keepNext/>
      <w:numPr>
        <w:ilvl w:val="2"/>
        <w:numId w:val="3"/>
      </w:numPr>
      <w:spacing w:after="80" w:line="240" w:lineRule="auto"/>
      <w:ind w:left="1191" w:hanging="1191"/>
      <w:outlineLvl w:val="2"/>
    </w:pPr>
    <w:rPr>
      <w:rFonts w:eastAsiaTheme="majorEastAsia" w:cstheme="majorBidi"/>
      <w:b/>
      <w:sz w:val="40"/>
      <w:szCs w:val="24"/>
    </w:rPr>
  </w:style>
  <w:style w:type="paragraph" w:styleId="Heading4">
    <w:name w:val="heading 4"/>
    <w:basedOn w:val="Normal"/>
    <w:next w:val="Normal"/>
    <w:link w:val="Heading4Char"/>
    <w:uiPriority w:val="4"/>
    <w:qFormat/>
    <w:rsid w:val="003F5DD1"/>
    <w:pPr>
      <w:keepNext/>
      <w:numPr>
        <w:ilvl w:val="3"/>
        <w:numId w:val="3"/>
      </w:numPr>
      <w:spacing w:before="80" w:after="80" w:line="240" w:lineRule="auto"/>
      <w:outlineLvl w:val="3"/>
    </w:pPr>
    <w:rPr>
      <w:rFonts w:eastAsiaTheme="majorEastAsia" w:cstheme="majorBidi"/>
      <w:b/>
      <w:iCs/>
      <w:sz w:val="32"/>
    </w:rPr>
  </w:style>
  <w:style w:type="paragraph" w:styleId="Heading5">
    <w:name w:val="heading 5"/>
    <w:basedOn w:val="Normal"/>
    <w:next w:val="Normal"/>
    <w:link w:val="Heading5Char"/>
    <w:uiPriority w:val="5"/>
    <w:qFormat/>
    <w:rsid w:val="003F5DD1"/>
    <w:pPr>
      <w:keepNext/>
      <w:numPr>
        <w:ilvl w:val="4"/>
        <w:numId w:val="3"/>
      </w:numPr>
      <w:spacing w:before="80" w:after="80" w:line="240" w:lineRule="auto"/>
      <w:outlineLvl w:val="4"/>
    </w:pPr>
    <w:rPr>
      <w:rFonts w:eastAsiaTheme="majorEastAsia" w:cstheme="majorBidi"/>
      <w:b/>
    </w:rPr>
  </w:style>
  <w:style w:type="paragraph" w:styleId="Heading6">
    <w:name w:val="heading 6"/>
    <w:basedOn w:val="Normal"/>
    <w:next w:val="Normal"/>
    <w:link w:val="Heading6Char"/>
    <w:uiPriority w:val="99"/>
    <w:semiHidden/>
    <w:locked/>
    <w:rsid w:val="008C65A2"/>
    <w:pPr>
      <w:keepNext/>
      <w:spacing w:before="80" w:after="0" w:line="240" w:lineRule="auto"/>
      <w:outlineLvl w:val="5"/>
    </w:pPr>
    <w:rPr>
      <w:rFonts w:eastAsiaTheme="majorEastAsia" w:cstheme="majorBidi"/>
      <w:b/>
    </w:rPr>
  </w:style>
  <w:style w:type="paragraph" w:styleId="Heading7">
    <w:name w:val="heading 7"/>
    <w:basedOn w:val="Normal"/>
    <w:next w:val="Normal"/>
    <w:link w:val="Heading7Char"/>
    <w:uiPriority w:val="99"/>
    <w:semiHidden/>
    <w:locked/>
    <w:rsid w:val="008C65A2"/>
    <w:pPr>
      <w:keepNext/>
      <w:spacing w:before="80" w:after="0" w:line="240" w:lineRule="auto"/>
      <w:outlineLvl w:val="6"/>
    </w:pPr>
    <w:rPr>
      <w:rFonts w:eastAsiaTheme="majorEastAsia" w:cstheme="majorBidi"/>
      <w:b/>
      <w:iCs/>
    </w:rPr>
  </w:style>
  <w:style w:type="paragraph" w:styleId="Heading8">
    <w:name w:val="heading 8"/>
    <w:basedOn w:val="Normal"/>
    <w:next w:val="Normal"/>
    <w:link w:val="Heading8Char"/>
    <w:uiPriority w:val="99"/>
    <w:semiHidden/>
    <w:locked/>
    <w:rsid w:val="008C65A2"/>
    <w:pPr>
      <w:keepNext/>
      <w:spacing w:before="80" w:after="0" w:line="240" w:lineRule="auto"/>
      <w:outlineLvl w:val="7"/>
    </w:pPr>
    <w:rPr>
      <w:rFonts w:eastAsiaTheme="majorEastAsia" w:cstheme="majorBidi"/>
      <w:b/>
      <w:szCs w:val="21"/>
    </w:rPr>
  </w:style>
  <w:style w:type="paragraph" w:styleId="Heading9">
    <w:name w:val="heading 9"/>
    <w:basedOn w:val="Normal"/>
    <w:next w:val="Normal"/>
    <w:link w:val="Heading9Char"/>
    <w:uiPriority w:val="99"/>
    <w:semiHidden/>
    <w:locked/>
    <w:rsid w:val="008C65A2"/>
    <w:pPr>
      <w:keepNext/>
      <w:spacing w:before="80" w:after="0" w:line="240" w:lineRule="auto"/>
      <w:outlineLvl w:val="8"/>
    </w:pPr>
    <w:rPr>
      <w:rFonts w:eastAsiaTheme="majorEastAsia"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ed">
    <w:name w:val="List Bulleted"/>
    <w:basedOn w:val="Normal"/>
    <w:uiPriority w:val="99"/>
    <w:semiHidden/>
    <w:locked/>
    <w:rsid w:val="007D3161"/>
  </w:style>
  <w:style w:type="paragraph" w:customStyle="1" w:styleId="ListNumbered">
    <w:name w:val="List Numbered"/>
    <w:basedOn w:val="Normal"/>
    <w:uiPriority w:val="99"/>
    <w:semiHidden/>
    <w:locked/>
    <w:rsid w:val="00D46B01"/>
  </w:style>
  <w:style w:type="character" w:customStyle="1" w:styleId="Heading1Char">
    <w:name w:val="Heading 1 Char"/>
    <w:basedOn w:val="DefaultParagraphFont"/>
    <w:link w:val="Heading1"/>
    <w:uiPriority w:val="1"/>
    <w:rsid w:val="00603F2A"/>
    <w:rPr>
      <w:rFonts w:ascii="Arial" w:eastAsiaTheme="majorEastAsia" w:hAnsi="Arial" w:cstheme="majorBidi"/>
      <w:b/>
      <w:sz w:val="56"/>
      <w:szCs w:val="32"/>
      <w:lang w:val="en-CA"/>
    </w:rPr>
  </w:style>
  <w:style w:type="character" w:customStyle="1" w:styleId="Heading2Char">
    <w:name w:val="Heading 2 Char"/>
    <w:aliases w:val="Cls Heading Lvl2 Char"/>
    <w:basedOn w:val="DefaultParagraphFont"/>
    <w:link w:val="Heading2"/>
    <w:uiPriority w:val="2"/>
    <w:rsid w:val="00603F2A"/>
    <w:rPr>
      <w:rFonts w:ascii="Arial" w:eastAsiaTheme="majorEastAsia" w:hAnsi="Arial" w:cstheme="majorBidi"/>
      <w:b/>
      <w:sz w:val="48"/>
      <w:szCs w:val="26"/>
      <w:lang w:val="en-CA"/>
    </w:rPr>
  </w:style>
  <w:style w:type="character" w:customStyle="1" w:styleId="Heading3Char">
    <w:name w:val="Heading 3 Char"/>
    <w:basedOn w:val="DefaultParagraphFont"/>
    <w:link w:val="Heading3"/>
    <w:uiPriority w:val="3"/>
    <w:rsid w:val="00603F2A"/>
    <w:rPr>
      <w:rFonts w:ascii="Arial" w:eastAsiaTheme="majorEastAsia" w:hAnsi="Arial" w:cstheme="majorBidi"/>
      <w:b/>
      <w:sz w:val="40"/>
      <w:szCs w:val="24"/>
      <w:lang w:val="en-CA"/>
    </w:rPr>
  </w:style>
  <w:style w:type="character" w:customStyle="1" w:styleId="Heading4Char">
    <w:name w:val="Heading 4 Char"/>
    <w:basedOn w:val="DefaultParagraphFont"/>
    <w:link w:val="Heading4"/>
    <w:uiPriority w:val="4"/>
    <w:rsid w:val="00693D9A"/>
    <w:rPr>
      <w:rFonts w:ascii="Arial" w:eastAsiaTheme="majorEastAsia" w:hAnsi="Arial" w:cstheme="majorBidi"/>
      <w:b/>
      <w:iCs/>
      <w:sz w:val="32"/>
      <w:lang w:val="en-CA"/>
    </w:rPr>
  </w:style>
  <w:style w:type="character" w:customStyle="1" w:styleId="Heading5Char">
    <w:name w:val="Heading 5 Char"/>
    <w:basedOn w:val="DefaultParagraphFont"/>
    <w:link w:val="Heading5"/>
    <w:uiPriority w:val="5"/>
    <w:rsid w:val="00693D9A"/>
    <w:rPr>
      <w:rFonts w:ascii="Arial" w:eastAsiaTheme="majorEastAsia" w:hAnsi="Arial" w:cstheme="majorBidi"/>
      <w:b/>
      <w:sz w:val="28"/>
      <w:lang w:val="en-CA"/>
    </w:rPr>
  </w:style>
  <w:style w:type="character" w:customStyle="1" w:styleId="Heading6Char">
    <w:name w:val="Heading 6 Char"/>
    <w:basedOn w:val="DefaultParagraphFont"/>
    <w:link w:val="Heading6"/>
    <w:uiPriority w:val="99"/>
    <w:semiHidden/>
    <w:rsid w:val="007C3600"/>
    <w:rPr>
      <w:rFonts w:ascii="Arial" w:eastAsiaTheme="majorEastAsia" w:hAnsi="Arial" w:cstheme="majorBidi"/>
      <w:b/>
      <w:sz w:val="28"/>
    </w:rPr>
  </w:style>
  <w:style w:type="character" w:customStyle="1" w:styleId="Heading7Char">
    <w:name w:val="Heading 7 Char"/>
    <w:basedOn w:val="DefaultParagraphFont"/>
    <w:link w:val="Heading7"/>
    <w:uiPriority w:val="99"/>
    <w:semiHidden/>
    <w:rsid w:val="007C3600"/>
    <w:rPr>
      <w:rFonts w:ascii="Arial" w:eastAsiaTheme="majorEastAsia" w:hAnsi="Arial" w:cstheme="majorBidi"/>
      <w:b/>
      <w:iCs/>
      <w:sz w:val="28"/>
    </w:rPr>
  </w:style>
  <w:style w:type="character" w:customStyle="1" w:styleId="Heading8Char">
    <w:name w:val="Heading 8 Char"/>
    <w:basedOn w:val="DefaultParagraphFont"/>
    <w:link w:val="Heading8"/>
    <w:uiPriority w:val="99"/>
    <w:semiHidden/>
    <w:rsid w:val="007C3600"/>
    <w:rPr>
      <w:rFonts w:ascii="Arial" w:eastAsiaTheme="majorEastAsia" w:hAnsi="Arial" w:cstheme="majorBidi"/>
      <w:b/>
      <w:sz w:val="28"/>
      <w:szCs w:val="21"/>
    </w:rPr>
  </w:style>
  <w:style w:type="character" w:customStyle="1" w:styleId="Heading9Char">
    <w:name w:val="Heading 9 Char"/>
    <w:basedOn w:val="DefaultParagraphFont"/>
    <w:link w:val="Heading9"/>
    <w:uiPriority w:val="99"/>
    <w:semiHidden/>
    <w:rsid w:val="007C3600"/>
    <w:rPr>
      <w:rFonts w:ascii="Arial" w:eastAsiaTheme="majorEastAsia" w:hAnsi="Arial" w:cstheme="majorBidi"/>
      <w:b/>
      <w:iCs/>
      <w:sz w:val="28"/>
      <w:szCs w:val="21"/>
    </w:rPr>
  </w:style>
  <w:style w:type="paragraph" w:styleId="Title">
    <w:name w:val="Title"/>
    <w:basedOn w:val="Normal"/>
    <w:next w:val="Normal"/>
    <w:link w:val="TitleChar"/>
    <w:uiPriority w:val="18"/>
    <w:qFormat/>
    <w:rsid w:val="00393C26"/>
    <w:pPr>
      <w:spacing w:after="600" w:line="240" w:lineRule="auto"/>
      <w:jc w:val="center"/>
    </w:pPr>
    <w:rPr>
      <w:rFonts w:eastAsiaTheme="majorEastAsia" w:cstheme="majorBidi"/>
      <w:b/>
      <w:spacing w:val="-10"/>
      <w:kern w:val="28"/>
      <w:sz w:val="60"/>
      <w:szCs w:val="56"/>
    </w:rPr>
  </w:style>
  <w:style w:type="character" w:customStyle="1" w:styleId="TitleChar">
    <w:name w:val="Title Char"/>
    <w:basedOn w:val="DefaultParagraphFont"/>
    <w:link w:val="Title"/>
    <w:uiPriority w:val="18"/>
    <w:rsid w:val="00C14327"/>
    <w:rPr>
      <w:rFonts w:ascii="Arial" w:eastAsiaTheme="majorEastAsia" w:hAnsi="Arial" w:cstheme="majorBidi"/>
      <w:b/>
      <w:spacing w:val="-10"/>
      <w:kern w:val="28"/>
      <w:sz w:val="60"/>
      <w:szCs w:val="56"/>
    </w:rPr>
  </w:style>
  <w:style w:type="paragraph" w:styleId="Subtitle">
    <w:name w:val="Subtitle"/>
    <w:basedOn w:val="Normal"/>
    <w:next w:val="Normal"/>
    <w:link w:val="SubtitleChar"/>
    <w:uiPriority w:val="19"/>
    <w:qFormat/>
    <w:rsid w:val="004B7E17"/>
    <w:pPr>
      <w:numPr>
        <w:ilvl w:val="1"/>
      </w:numPr>
      <w:spacing w:after="840" w:line="240" w:lineRule="auto"/>
      <w:jc w:val="center"/>
    </w:pPr>
    <w:rPr>
      <w:rFonts w:eastAsiaTheme="minorEastAsia"/>
      <w:spacing w:val="15"/>
      <w:sz w:val="60"/>
    </w:rPr>
  </w:style>
  <w:style w:type="character" w:customStyle="1" w:styleId="SubtitleChar">
    <w:name w:val="Subtitle Char"/>
    <w:basedOn w:val="DefaultParagraphFont"/>
    <w:link w:val="Subtitle"/>
    <w:uiPriority w:val="19"/>
    <w:rsid w:val="004B7E17"/>
    <w:rPr>
      <w:rFonts w:ascii="Arial" w:eastAsiaTheme="minorEastAsia" w:hAnsi="Arial"/>
      <w:spacing w:val="15"/>
      <w:sz w:val="60"/>
      <w:lang w:val="en-CA"/>
    </w:rPr>
  </w:style>
  <w:style w:type="character" w:styleId="Emphasis">
    <w:name w:val="Emphasis"/>
    <w:basedOn w:val="DefaultParagraphFont"/>
    <w:uiPriority w:val="99"/>
    <w:semiHidden/>
    <w:locked/>
    <w:rsid w:val="00926EA7"/>
    <w:rPr>
      <w:b/>
      <w:i w:val="0"/>
      <w:iCs/>
    </w:rPr>
  </w:style>
  <w:style w:type="character" w:styleId="SubtleEmphasis">
    <w:name w:val="Subtle Emphasis"/>
    <w:basedOn w:val="DefaultParagraphFont"/>
    <w:uiPriority w:val="99"/>
    <w:semiHidden/>
    <w:locked/>
    <w:rsid w:val="00926EA7"/>
    <w:rPr>
      <w:i/>
      <w:iCs/>
      <w:color w:val="404040" w:themeColor="text1" w:themeTint="BF"/>
    </w:rPr>
  </w:style>
  <w:style w:type="character" w:styleId="IntenseEmphasis">
    <w:name w:val="Intense Emphasis"/>
    <w:basedOn w:val="DefaultParagraphFont"/>
    <w:uiPriority w:val="99"/>
    <w:semiHidden/>
    <w:locked/>
    <w:rsid w:val="00926EA7"/>
    <w:rPr>
      <w:i/>
      <w:iCs/>
      <w:color w:val="4472C4" w:themeColor="accent1"/>
    </w:rPr>
  </w:style>
  <w:style w:type="character" w:styleId="Strong">
    <w:name w:val="Strong"/>
    <w:basedOn w:val="DefaultParagraphFont"/>
    <w:uiPriority w:val="99"/>
    <w:semiHidden/>
    <w:locked/>
    <w:rsid w:val="00926EA7"/>
    <w:rPr>
      <w:b/>
      <w:bCs/>
    </w:rPr>
  </w:style>
  <w:style w:type="character" w:customStyle="1" w:styleId="EmphasisUseSparingly">
    <w:name w:val="Emphasis (Use Sparingly)"/>
    <w:basedOn w:val="DefaultParagraphFont"/>
    <w:uiPriority w:val="6"/>
    <w:qFormat/>
    <w:rsid w:val="00926EA7"/>
    <w:rPr>
      <w:b/>
    </w:rPr>
  </w:style>
  <w:style w:type="paragraph" w:styleId="Quote">
    <w:name w:val="Quote"/>
    <w:basedOn w:val="Normal"/>
    <w:link w:val="QuoteChar"/>
    <w:uiPriority w:val="99"/>
    <w:semiHidden/>
    <w:qFormat/>
    <w:locked/>
    <w:rsid w:val="0043117B"/>
    <w:pPr>
      <w:pBdr>
        <w:top w:val="dashSmallGap" w:sz="4" w:space="1" w:color="525252" w:themeColor="accent3" w:themeShade="80"/>
        <w:bottom w:val="dashSmallGap" w:sz="4" w:space="1" w:color="525252" w:themeColor="accent3" w:themeShade="80"/>
      </w:pBdr>
      <w:spacing w:before="240"/>
      <w:ind w:left="533" w:right="533"/>
    </w:pPr>
    <w:rPr>
      <w:iCs/>
    </w:rPr>
  </w:style>
  <w:style w:type="character" w:customStyle="1" w:styleId="QuoteChar">
    <w:name w:val="Quote Char"/>
    <w:basedOn w:val="DefaultParagraphFont"/>
    <w:link w:val="Quote"/>
    <w:uiPriority w:val="99"/>
    <w:semiHidden/>
    <w:rsid w:val="00E040E3"/>
    <w:rPr>
      <w:rFonts w:ascii="Arial" w:hAnsi="Arial"/>
      <w:iCs/>
      <w:sz w:val="28"/>
    </w:rPr>
  </w:style>
  <w:style w:type="paragraph" w:styleId="IntenseQuote">
    <w:name w:val="Intense Quote"/>
    <w:basedOn w:val="Normal"/>
    <w:next w:val="Normal"/>
    <w:link w:val="IntenseQuoteChar"/>
    <w:uiPriority w:val="99"/>
    <w:semiHidden/>
    <w:locked/>
    <w:rsid w:val="00BA77F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7C3600"/>
    <w:rPr>
      <w:rFonts w:ascii="Arial" w:hAnsi="Arial"/>
      <w:i/>
      <w:iCs/>
      <w:color w:val="4472C4" w:themeColor="accent1"/>
      <w:sz w:val="28"/>
    </w:rPr>
  </w:style>
  <w:style w:type="character" w:styleId="SubtleReference">
    <w:name w:val="Subtle Reference"/>
    <w:basedOn w:val="DefaultParagraphFont"/>
    <w:uiPriority w:val="99"/>
    <w:semiHidden/>
    <w:locked/>
    <w:rsid w:val="00BA77F7"/>
    <w:rPr>
      <w:smallCaps/>
      <w:color w:val="5A5A5A" w:themeColor="text1" w:themeTint="A5"/>
    </w:rPr>
  </w:style>
  <w:style w:type="character" w:styleId="IntenseReference">
    <w:name w:val="Intense Reference"/>
    <w:basedOn w:val="DefaultParagraphFont"/>
    <w:uiPriority w:val="99"/>
    <w:semiHidden/>
    <w:locked/>
    <w:rsid w:val="00BA77F7"/>
    <w:rPr>
      <w:b/>
      <w:bCs/>
      <w:smallCaps/>
      <w:color w:val="4472C4" w:themeColor="accent1"/>
      <w:spacing w:val="5"/>
    </w:rPr>
  </w:style>
  <w:style w:type="character" w:styleId="BookTitle">
    <w:name w:val="Book Title"/>
    <w:basedOn w:val="DefaultParagraphFont"/>
    <w:uiPriority w:val="99"/>
    <w:semiHidden/>
    <w:qFormat/>
    <w:locked/>
    <w:rsid w:val="00BA77F7"/>
    <w:rPr>
      <w:b w:val="0"/>
      <w:bCs/>
      <w:i/>
      <w:iCs/>
      <w:spacing w:val="5"/>
    </w:rPr>
  </w:style>
  <w:style w:type="paragraph" w:styleId="ListBullet">
    <w:name w:val="List Bullet"/>
    <w:basedOn w:val="Normal"/>
    <w:next w:val="Normal"/>
    <w:uiPriority w:val="99"/>
    <w:semiHidden/>
    <w:qFormat/>
    <w:locked/>
    <w:rsid w:val="00F80707"/>
    <w:pPr>
      <w:numPr>
        <w:numId w:val="1"/>
      </w:numPr>
      <w:contextualSpacing/>
    </w:pPr>
  </w:style>
  <w:style w:type="paragraph" w:styleId="ListBullet2">
    <w:name w:val="List Bullet 2"/>
    <w:basedOn w:val="Normal"/>
    <w:next w:val="Normal"/>
    <w:uiPriority w:val="99"/>
    <w:semiHidden/>
    <w:qFormat/>
    <w:locked/>
    <w:rsid w:val="00F80707"/>
    <w:pPr>
      <w:numPr>
        <w:ilvl w:val="1"/>
        <w:numId w:val="1"/>
      </w:numPr>
      <w:contextualSpacing/>
    </w:pPr>
  </w:style>
  <w:style w:type="paragraph" w:styleId="ListBullet3">
    <w:name w:val="List Bullet 3"/>
    <w:basedOn w:val="Normal"/>
    <w:next w:val="Normal"/>
    <w:uiPriority w:val="99"/>
    <w:semiHidden/>
    <w:qFormat/>
    <w:locked/>
    <w:rsid w:val="00C713D2"/>
    <w:pPr>
      <w:numPr>
        <w:ilvl w:val="2"/>
        <w:numId w:val="1"/>
      </w:numPr>
      <w:tabs>
        <w:tab w:val="clear" w:pos="2131"/>
        <w:tab w:val="num" w:pos="360"/>
      </w:tabs>
      <w:ind w:left="0" w:firstLine="0"/>
      <w:contextualSpacing/>
    </w:pPr>
  </w:style>
  <w:style w:type="paragraph" w:styleId="ListBullet4">
    <w:name w:val="List Bullet 4"/>
    <w:basedOn w:val="Normal"/>
    <w:next w:val="Normal"/>
    <w:uiPriority w:val="99"/>
    <w:semiHidden/>
    <w:qFormat/>
    <w:locked/>
    <w:rsid w:val="00C713D2"/>
    <w:pPr>
      <w:numPr>
        <w:ilvl w:val="3"/>
        <w:numId w:val="1"/>
      </w:numPr>
      <w:contextualSpacing/>
    </w:pPr>
  </w:style>
  <w:style w:type="paragraph" w:styleId="ListBullet5">
    <w:name w:val="List Bullet 5"/>
    <w:basedOn w:val="Normal"/>
    <w:uiPriority w:val="99"/>
    <w:semiHidden/>
    <w:locked/>
    <w:rsid w:val="00416EF8"/>
    <w:pPr>
      <w:contextualSpacing/>
    </w:pPr>
  </w:style>
  <w:style w:type="paragraph" w:styleId="ListNumber">
    <w:name w:val="List Number"/>
    <w:basedOn w:val="Normal"/>
    <w:next w:val="Normal"/>
    <w:uiPriority w:val="99"/>
    <w:semiHidden/>
    <w:qFormat/>
    <w:locked/>
    <w:rsid w:val="00C713D2"/>
    <w:pPr>
      <w:numPr>
        <w:numId w:val="2"/>
      </w:numPr>
      <w:contextualSpacing/>
    </w:pPr>
  </w:style>
  <w:style w:type="paragraph" w:styleId="ListNumber2">
    <w:name w:val="List Number 2"/>
    <w:basedOn w:val="Normal"/>
    <w:next w:val="Normal"/>
    <w:uiPriority w:val="99"/>
    <w:semiHidden/>
    <w:qFormat/>
    <w:locked/>
    <w:rsid w:val="00C713D2"/>
    <w:pPr>
      <w:numPr>
        <w:ilvl w:val="1"/>
        <w:numId w:val="2"/>
      </w:numPr>
      <w:contextualSpacing/>
    </w:pPr>
  </w:style>
  <w:style w:type="paragraph" w:styleId="ListNumber3">
    <w:name w:val="List Number 3"/>
    <w:basedOn w:val="Normal"/>
    <w:next w:val="Normal"/>
    <w:uiPriority w:val="99"/>
    <w:semiHidden/>
    <w:qFormat/>
    <w:locked/>
    <w:rsid w:val="00C713D2"/>
    <w:pPr>
      <w:numPr>
        <w:ilvl w:val="2"/>
        <w:numId w:val="2"/>
      </w:numPr>
      <w:contextualSpacing/>
    </w:pPr>
  </w:style>
  <w:style w:type="paragraph" w:styleId="ListNumber4">
    <w:name w:val="List Number 4"/>
    <w:basedOn w:val="Normal"/>
    <w:next w:val="Normal"/>
    <w:uiPriority w:val="99"/>
    <w:semiHidden/>
    <w:qFormat/>
    <w:locked/>
    <w:rsid w:val="00C713D2"/>
    <w:pPr>
      <w:numPr>
        <w:ilvl w:val="3"/>
        <w:numId w:val="2"/>
      </w:numPr>
      <w:contextualSpacing/>
    </w:pPr>
  </w:style>
  <w:style w:type="paragraph" w:styleId="ListNumber5">
    <w:name w:val="List Number 5"/>
    <w:basedOn w:val="Normal"/>
    <w:uiPriority w:val="99"/>
    <w:semiHidden/>
    <w:locked/>
    <w:rsid w:val="00C713D2"/>
    <w:pPr>
      <w:contextualSpacing/>
    </w:pPr>
  </w:style>
  <w:style w:type="character" w:styleId="Hyperlink">
    <w:name w:val="Hyperlink"/>
    <w:basedOn w:val="DefaultParagraphFont"/>
    <w:uiPriority w:val="99"/>
    <w:qFormat/>
    <w:rsid w:val="00A964CB"/>
    <w:rPr>
      <w:color w:val="224197"/>
      <w:u w:val="single"/>
    </w:rPr>
  </w:style>
  <w:style w:type="paragraph" w:styleId="TOCHeading">
    <w:name w:val="TOC Heading"/>
    <w:basedOn w:val="Heading1"/>
    <w:next w:val="Normal"/>
    <w:uiPriority w:val="99"/>
    <w:semiHidden/>
    <w:qFormat/>
    <w:rsid w:val="00CD4026"/>
    <w:pPr>
      <w:numPr>
        <w:numId w:val="0"/>
      </w:numPr>
      <w:spacing w:after="240"/>
    </w:pPr>
  </w:style>
  <w:style w:type="paragraph" w:styleId="TOC4">
    <w:name w:val="toc 4"/>
    <w:basedOn w:val="Normal"/>
    <w:next w:val="Normal"/>
    <w:uiPriority w:val="39"/>
    <w:locked/>
    <w:rsid w:val="003E6C33"/>
    <w:pPr>
      <w:spacing w:after="100"/>
      <w:ind w:left="840"/>
    </w:pPr>
  </w:style>
  <w:style w:type="paragraph" w:styleId="TOC5">
    <w:name w:val="toc 5"/>
    <w:basedOn w:val="Normal"/>
    <w:next w:val="Normal"/>
    <w:uiPriority w:val="39"/>
    <w:locked/>
    <w:rsid w:val="003E6C33"/>
    <w:pPr>
      <w:spacing w:after="100"/>
      <w:ind w:left="1120"/>
    </w:pPr>
  </w:style>
  <w:style w:type="paragraph" w:styleId="TOC6">
    <w:name w:val="toc 6"/>
    <w:basedOn w:val="Normal"/>
    <w:next w:val="Normal"/>
    <w:uiPriority w:val="39"/>
    <w:locked/>
    <w:rsid w:val="003E6C33"/>
    <w:pPr>
      <w:spacing w:after="100"/>
      <w:ind w:left="1400"/>
    </w:pPr>
  </w:style>
  <w:style w:type="paragraph" w:styleId="TOC7">
    <w:name w:val="toc 7"/>
    <w:basedOn w:val="Normal"/>
    <w:next w:val="Normal"/>
    <w:uiPriority w:val="39"/>
    <w:locked/>
    <w:rsid w:val="003E6C33"/>
    <w:pPr>
      <w:spacing w:after="100"/>
      <w:ind w:left="1680"/>
    </w:pPr>
  </w:style>
  <w:style w:type="paragraph" w:styleId="TOC8">
    <w:name w:val="toc 8"/>
    <w:basedOn w:val="Normal"/>
    <w:next w:val="Normal"/>
    <w:uiPriority w:val="39"/>
    <w:locked/>
    <w:rsid w:val="003E6C33"/>
    <w:pPr>
      <w:spacing w:after="100"/>
      <w:ind w:left="1960"/>
    </w:pPr>
  </w:style>
  <w:style w:type="paragraph" w:styleId="TOC9">
    <w:name w:val="toc 9"/>
    <w:basedOn w:val="Normal"/>
    <w:next w:val="Normal"/>
    <w:uiPriority w:val="39"/>
    <w:locked/>
    <w:rsid w:val="003E6C33"/>
    <w:pPr>
      <w:spacing w:after="100"/>
      <w:ind w:left="2240"/>
    </w:pPr>
  </w:style>
  <w:style w:type="paragraph" w:styleId="TOC2">
    <w:name w:val="toc 2"/>
    <w:basedOn w:val="Normal"/>
    <w:next w:val="Normal"/>
    <w:uiPriority w:val="39"/>
    <w:rsid w:val="00D3513B"/>
    <w:pPr>
      <w:spacing w:after="100"/>
      <w:ind w:left="280"/>
    </w:pPr>
  </w:style>
  <w:style w:type="paragraph" w:styleId="TOC1">
    <w:name w:val="toc 1"/>
    <w:basedOn w:val="Normal"/>
    <w:next w:val="Normal"/>
    <w:uiPriority w:val="39"/>
    <w:rsid w:val="00D3513B"/>
    <w:pPr>
      <w:spacing w:after="100"/>
    </w:pPr>
  </w:style>
  <w:style w:type="paragraph" w:styleId="TOC3">
    <w:name w:val="toc 3"/>
    <w:basedOn w:val="Normal"/>
    <w:next w:val="Normal"/>
    <w:uiPriority w:val="39"/>
    <w:rsid w:val="00D3513B"/>
    <w:pPr>
      <w:spacing w:after="100"/>
      <w:ind w:left="560"/>
    </w:pPr>
  </w:style>
  <w:style w:type="character" w:styleId="PlaceholderText">
    <w:name w:val="Placeholder Text"/>
    <w:basedOn w:val="DefaultParagraphFont"/>
    <w:uiPriority w:val="15"/>
    <w:qFormat/>
    <w:rsid w:val="00B8026E"/>
    <w:rPr>
      <w:color w:val="auto"/>
      <w:bdr w:val="none" w:sz="0" w:space="0" w:color="auto"/>
      <w:shd w:val="clear" w:color="auto" w:fill="FFFF00"/>
    </w:rPr>
  </w:style>
  <w:style w:type="paragraph" w:styleId="Header">
    <w:name w:val="header"/>
    <w:basedOn w:val="Normal"/>
    <w:link w:val="HeaderChar"/>
    <w:uiPriority w:val="99"/>
    <w:semiHidden/>
    <w:locked/>
    <w:rsid w:val="00AC1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1AD5"/>
    <w:rPr>
      <w:rFonts w:ascii="Arial" w:hAnsi="Arial"/>
      <w:sz w:val="28"/>
    </w:rPr>
  </w:style>
  <w:style w:type="paragraph" w:styleId="Footer">
    <w:name w:val="footer"/>
    <w:basedOn w:val="Normal"/>
    <w:link w:val="FooterChar"/>
    <w:uiPriority w:val="99"/>
    <w:semiHidden/>
    <w:locked/>
    <w:rsid w:val="00AC1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D5"/>
    <w:rPr>
      <w:rFonts w:ascii="Arial" w:hAnsi="Arial"/>
      <w:sz w:val="28"/>
    </w:rPr>
  </w:style>
  <w:style w:type="character" w:styleId="CommentReference">
    <w:name w:val="annotation reference"/>
    <w:aliases w:val="Heading 9 Char1"/>
    <w:basedOn w:val="DefaultParagraphFont"/>
    <w:uiPriority w:val="9"/>
    <w:rsid w:val="00611AD5"/>
    <w:rPr>
      <w:sz w:val="24"/>
      <w:szCs w:val="16"/>
    </w:rPr>
  </w:style>
  <w:style w:type="paragraph" w:styleId="CommentText">
    <w:name w:val="annotation text"/>
    <w:basedOn w:val="Normal"/>
    <w:link w:val="CommentTextChar"/>
    <w:uiPriority w:val="99"/>
    <w:rsid w:val="00611AD5"/>
    <w:pPr>
      <w:spacing w:line="240" w:lineRule="auto"/>
    </w:pPr>
    <w:rPr>
      <w:sz w:val="24"/>
      <w:szCs w:val="20"/>
    </w:rPr>
  </w:style>
  <w:style w:type="character" w:customStyle="1" w:styleId="CommentTextChar">
    <w:name w:val="Comment Text Char"/>
    <w:basedOn w:val="DefaultParagraphFont"/>
    <w:link w:val="CommentText"/>
    <w:uiPriority w:val="99"/>
    <w:rsid w:val="00611AD5"/>
    <w:rPr>
      <w:rFonts w:ascii="Arial" w:hAnsi="Arial"/>
      <w:sz w:val="24"/>
      <w:szCs w:val="20"/>
    </w:rPr>
  </w:style>
  <w:style w:type="paragraph" w:styleId="CommentSubject">
    <w:name w:val="annotation subject"/>
    <w:basedOn w:val="CommentText"/>
    <w:next w:val="CommentText"/>
    <w:link w:val="CommentSubjectChar"/>
    <w:uiPriority w:val="99"/>
    <w:semiHidden/>
    <w:rsid w:val="00812C1D"/>
    <w:rPr>
      <w:b/>
      <w:bCs/>
    </w:rPr>
  </w:style>
  <w:style w:type="character" w:customStyle="1" w:styleId="CommentSubjectChar">
    <w:name w:val="Comment Subject Char"/>
    <w:basedOn w:val="CommentTextChar"/>
    <w:link w:val="CommentSubject"/>
    <w:uiPriority w:val="99"/>
    <w:semiHidden/>
    <w:rsid w:val="00611AD5"/>
    <w:rPr>
      <w:rFonts w:ascii="Arial" w:hAnsi="Arial"/>
      <w:b/>
      <w:bCs/>
      <w:sz w:val="24"/>
      <w:szCs w:val="20"/>
    </w:rPr>
  </w:style>
  <w:style w:type="paragraph" w:styleId="Revision">
    <w:name w:val="Revision"/>
    <w:hidden/>
    <w:uiPriority w:val="99"/>
    <w:semiHidden/>
    <w:rsid w:val="005563F5"/>
    <w:pPr>
      <w:spacing w:after="0" w:line="240" w:lineRule="auto"/>
    </w:pPr>
    <w:rPr>
      <w:rFonts w:ascii="Arial" w:hAnsi="Arial"/>
      <w:sz w:val="28"/>
    </w:rPr>
  </w:style>
  <w:style w:type="paragraph" w:customStyle="1" w:styleId="StyleCentered">
    <w:name w:val="Style Centered"/>
    <w:basedOn w:val="Normal"/>
    <w:uiPriority w:val="99"/>
    <w:semiHidden/>
    <w:rsid w:val="00E67D49"/>
    <w:pPr>
      <w:jc w:val="center"/>
    </w:pPr>
    <w:rPr>
      <w:rFonts w:eastAsia="Times New Roman" w:cs="Times New Roman"/>
      <w:szCs w:val="20"/>
    </w:rPr>
  </w:style>
  <w:style w:type="character" w:customStyle="1" w:styleId="TitleOfWork">
    <w:name w:val="Title Of Work"/>
    <w:basedOn w:val="BookTitle"/>
    <w:uiPriority w:val="10"/>
    <w:qFormat/>
    <w:rsid w:val="00EB0308"/>
    <w:rPr>
      <w:b w:val="0"/>
      <w:bCs/>
      <w:i/>
      <w:iCs/>
      <w:spacing w:val="5"/>
    </w:rPr>
  </w:style>
  <w:style w:type="character" w:styleId="UnresolvedMention">
    <w:name w:val="Unresolved Mention"/>
    <w:basedOn w:val="DefaultParagraphFont"/>
    <w:uiPriority w:val="99"/>
    <w:semiHidden/>
    <w:rsid w:val="009C1EA7"/>
    <w:rPr>
      <w:color w:val="605E5C"/>
      <w:shd w:val="clear" w:color="auto" w:fill="E1DFDD"/>
    </w:rPr>
  </w:style>
  <w:style w:type="character" w:styleId="FollowedHyperlink">
    <w:name w:val="FollowedHyperlink"/>
    <w:basedOn w:val="DefaultParagraphFont"/>
    <w:uiPriority w:val="99"/>
    <w:semiHidden/>
    <w:unhideWhenUsed/>
    <w:rsid w:val="008129A1"/>
    <w:rPr>
      <w:color w:val="6B3952"/>
      <w:u w:val="single"/>
    </w:rPr>
  </w:style>
  <w:style w:type="paragraph" w:customStyle="1" w:styleId="Copyright">
    <w:name w:val="Copyright"/>
    <w:basedOn w:val="Normal"/>
    <w:next w:val="Normal"/>
    <w:uiPriority w:val="99"/>
    <w:semiHidden/>
    <w:locked/>
    <w:rsid w:val="003C0FE5"/>
    <w:rPr>
      <w:sz w:val="24"/>
      <w:szCs w:val="28"/>
    </w:rPr>
  </w:style>
  <w:style w:type="paragraph" w:customStyle="1" w:styleId="PrelimHeading1">
    <w:name w:val="Prelim Heading 1"/>
    <w:basedOn w:val="Heading1"/>
    <w:next w:val="Normal"/>
    <w:uiPriority w:val="99"/>
    <w:semiHidden/>
    <w:locked/>
    <w:rsid w:val="00F8022D"/>
    <w:pPr>
      <w:numPr>
        <w:numId w:val="0"/>
      </w:numPr>
    </w:pPr>
  </w:style>
  <w:style w:type="paragraph" w:customStyle="1" w:styleId="PrelimHeading2">
    <w:name w:val="Prelim Heading 2"/>
    <w:basedOn w:val="Heading2"/>
    <w:uiPriority w:val="99"/>
    <w:semiHidden/>
    <w:locked/>
    <w:rsid w:val="00F8022D"/>
    <w:pPr>
      <w:numPr>
        <w:ilvl w:val="0"/>
        <w:numId w:val="0"/>
      </w:numPr>
    </w:pPr>
  </w:style>
  <w:style w:type="paragraph" w:customStyle="1" w:styleId="NormalAfterTable">
    <w:name w:val="Normal After Table"/>
    <w:basedOn w:val="Normal"/>
    <w:next w:val="Normal"/>
    <w:uiPriority w:val="16"/>
    <w:qFormat/>
    <w:rsid w:val="0098084A"/>
    <w:pPr>
      <w:spacing w:before="240"/>
    </w:pPr>
  </w:style>
  <w:style w:type="paragraph" w:customStyle="1" w:styleId="EndCommentary">
    <w:name w:val="End Commentary"/>
    <w:basedOn w:val="StartCommentary"/>
    <w:next w:val="Normal"/>
    <w:uiPriority w:val="13"/>
    <w:qFormat/>
    <w:rsid w:val="00DD0DBA"/>
  </w:style>
  <w:style w:type="paragraph" w:customStyle="1" w:styleId="StartCommentary">
    <w:name w:val="Start Commentary"/>
    <w:basedOn w:val="Normal"/>
    <w:next w:val="Normal"/>
    <w:uiPriority w:val="12"/>
    <w:qFormat/>
    <w:rsid w:val="00F2205C"/>
    <w:pPr>
      <w:shd w:val="clear" w:color="auto" w:fill="224197"/>
    </w:pPr>
    <w:rPr>
      <w:b/>
      <w:color w:val="FFFFFF"/>
    </w:rPr>
  </w:style>
  <w:style w:type="character" w:customStyle="1" w:styleId="Source">
    <w:name w:val="Source"/>
    <w:uiPriority w:val="14"/>
    <w:qFormat/>
    <w:rsid w:val="00AE38A8"/>
    <w:rPr>
      <w:color w:val="FFFFFF"/>
      <w:bdr w:val="none" w:sz="0" w:space="0" w:color="auto"/>
      <w:shd w:val="clear" w:color="auto" w:fill="000000"/>
    </w:rPr>
  </w:style>
  <w:style w:type="paragraph" w:customStyle="1" w:styleId="AnnexHeading1">
    <w:name w:val="Annex Heading 1"/>
    <w:basedOn w:val="Heading1"/>
    <w:next w:val="Normal"/>
    <w:uiPriority w:val="99"/>
    <w:semiHidden/>
    <w:qFormat/>
    <w:locked/>
    <w:rsid w:val="001441CF"/>
    <w:pPr>
      <w:numPr>
        <w:numId w:val="4"/>
      </w:numPr>
      <w:ind w:left="0" w:firstLine="0"/>
    </w:pPr>
  </w:style>
  <w:style w:type="paragraph" w:customStyle="1" w:styleId="AnnexHeading2">
    <w:name w:val="Annex Heading 2"/>
    <w:basedOn w:val="Heading2"/>
    <w:next w:val="Normal"/>
    <w:uiPriority w:val="99"/>
    <w:semiHidden/>
    <w:qFormat/>
    <w:locked/>
    <w:rsid w:val="001441CF"/>
    <w:pPr>
      <w:numPr>
        <w:numId w:val="4"/>
      </w:numPr>
      <w:ind w:left="0" w:firstLine="0"/>
    </w:pPr>
  </w:style>
  <w:style w:type="paragraph" w:customStyle="1" w:styleId="AnnexHeading3">
    <w:name w:val="Annex Heading 3"/>
    <w:basedOn w:val="Heading3"/>
    <w:next w:val="Normal"/>
    <w:uiPriority w:val="99"/>
    <w:semiHidden/>
    <w:qFormat/>
    <w:locked/>
    <w:rsid w:val="001441CF"/>
    <w:pPr>
      <w:numPr>
        <w:numId w:val="4"/>
      </w:numPr>
      <w:ind w:left="0" w:firstLine="0"/>
    </w:pPr>
  </w:style>
  <w:style w:type="paragraph" w:customStyle="1" w:styleId="AnnexHeading4">
    <w:name w:val="Annex Heading 4"/>
    <w:basedOn w:val="Heading4"/>
    <w:next w:val="Normal"/>
    <w:uiPriority w:val="99"/>
    <w:semiHidden/>
    <w:qFormat/>
    <w:locked/>
    <w:rsid w:val="001441CF"/>
    <w:pPr>
      <w:numPr>
        <w:numId w:val="4"/>
      </w:numPr>
      <w:ind w:left="0" w:firstLine="0"/>
    </w:pPr>
  </w:style>
  <w:style w:type="paragraph" w:customStyle="1" w:styleId="AnnexHeading5">
    <w:name w:val="Annex Heading 5"/>
    <w:basedOn w:val="Heading5"/>
    <w:next w:val="Normal"/>
    <w:uiPriority w:val="99"/>
    <w:semiHidden/>
    <w:qFormat/>
    <w:locked/>
    <w:rsid w:val="001441CF"/>
    <w:pPr>
      <w:numPr>
        <w:numId w:val="4"/>
      </w:numPr>
      <w:tabs>
        <w:tab w:val="num" w:pos="360"/>
      </w:tabs>
      <w:ind w:left="0" w:firstLine="0"/>
    </w:pPr>
  </w:style>
  <w:style w:type="table" w:styleId="TableGrid">
    <w:name w:val="Table Grid"/>
    <w:basedOn w:val="TableNormal"/>
    <w:uiPriority w:val="39"/>
    <w:rsid w:val="00880389"/>
    <w:pPr>
      <w:spacing w:after="0" w:line="240" w:lineRule="auto"/>
    </w:pPr>
    <w:rPr>
      <w:rFonts w:ascii="Arial" w:hAnsi="Arial"/>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2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224197"/>
      </w:tcPr>
    </w:tblStylePr>
    <w:tblStylePr w:type="band2Horz">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EAEEFA"/>
      </w:tcPr>
    </w:tblStylePr>
  </w:style>
  <w:style w:type="paragraph" w:styleId="Caption">
    <w:name w:val="caption"/>
    <w:basedOn w:val="Normal"/>
    <w:next w:val="Normal"/>
    <w:uiPriority w:val="17"/>
    <w:qFormat/>
    <w:rsid w:val="00B63D78"/>
    <w:pPr>
      <w:spacing w:after="0" w:line="360" w:lineRule="auto"/>
    </w:pPr>
    <w:rPr>
      <w:iCs/>
      <w:szCs w:val="18"/>
    </w:rPr>
  </w:style>
  <w:style w:type="paragraph" w:customStyle="1" w:styleId="ListRef">
    <w:name w:val="List Ref"/>
    <w:basedOn w:val="Normal"/>
    <w:uiPriority w:val="9"/>
    <w:qFormat/>
    <w:rsid w:val="00985ADD"/>
    <w:pPr>
      <w:ind w:left="533" w:hanging="533"/>
    </w:pPr>
  </w:style>
  <w:style w:type="paragraph" w:styleId="BalloonText">
    <w:name w:val="Balloon Text"/>
    <w:basedOn w:val="Normal"/>
    <w:link w:val="BalloonTextChar"/>
    <w:uiPriority w:val="99"/>
    <w:semiHidden/>
    <w:rsid w:val="0041174F"/>
    <w:pPr>
      <w:spacing w:after="0" w:line="240" w:lineRule="auto"/>
    </w:pPr>
    <w:rPr>
      <w:rFonts w:cs="Segoe UI"/>
      <w:sz w:val="24"/>
      <w:szCs w:val="18"/>
    </w:rPr>
  </w:style>
  <w:style w:type="character" w:customStyle="1" w:styleId="BalloonTextChar">
    <w:name w:val="Balloon Text Char"/>
    <w:basedOn w:val="DefaultParagraphFont"/>
    <w:link w:val="BalloonText"/>
    <w:uiPriority w:val="99"/>
    <w:semiHidden/>
    <w:rsid w:val="0041174F"/>
    <w:rPr>
      <w:rFonts w:ascii="Arial" w:hAnsi="Arial" w:cs="Segoe UI"/>
      <w:sz w:val="24"/>
      <w:szCs w:val="18"/>
    </w:rPr>
  </w:style>
  <w:style w:type="character" w:styleId="Hashtag">
    <w:name w:val="Hashtag"/>
    <w:basedOn w:val="DefaultParagraphFont"/>
    <w:uiPriority w:val="99"/>
    <w:semiHidden/>
    <w:locked/>
    <w:rsid w:val="00611AD5"/>
    <w:rPr>
      <w:color w:val="224197"/>
      <w:shd w:val="clear" w:color="auto" w:fill="E1DFDD"/>
    </w:rPr>
  </w:style>
  <w:style w:type="character" w:styleId="Mention">
    <w:name w:val="Mention"/>
    <w:basedOn w:val="DefaultParagraphFont"/>
    <w:uiPriority w:val="99"/>
    <w:semiHidden/>
    <w:rsid w:val="00611AD5"/>
    <w:rPr>
      <w:color w:val="224197"/>
      <w:shd w:val="clear" w:color="auto" w:fill="E1DFDD"/>
    </w:rPr>
  </w:style>
  <w:style w:type="character" w:styleId="SmartLink">
    <w:name w:val="Smart Link"/>
    <w:basedOn w:val="DefaultParagraphFont"/>
    <w:uiPriority w:val="99"/>
    <w:semiHidden/>
    <w:locked/>
    <w:rsid w:val="00611AD5"/>
    <w:rPr>
      <w:color w:val="224197"/>
      <w:u w:val="single"/>
      <w:shd w:val="clear" w:color="auto" w:fill="F3F2F1"/>
    </w:rPr>
  </w:style>
  <w:style w:type="character" w:customStyle="1" w:styleId="StartQuote">
    <w:name w:val="Start Quote"/>
    <w:basedOn w:val="DefaultParagraphFont"/>
    <w:uiPriority w:val="7"/>
    <w:qFormat/>
    <w:rsid w:val="001C603F"/>
    <w:rPr>
      <w:b/>
      <w:color w:val="FFFFFF"/>
      <w:bdr w:val="none" w:sz="0" w:space="0" w:color="auto"/>
      <w:shd w:val="clear" w:color="auto" w:fill="224197"/>
    </w:rPr>
  </w:style>
  <w:style w:type="character" w:customStyle="1" w:styleId="EndQuote">
    <w:name w:val="End Quote"/>
    <w:basedOn w:val="DefaultParagraphFont"/>
    <w:uiPriority w:val="8"/>
    <w:qFormat/>
    <w:rsid w:val="001C603F"/>
    <w:rPr>
      <w:b/>
      <w:color w:val="FFFFFF"/>
      <w:bdr w:val="none" w:sz="0" w:space="0" w:color="auto"/>
      <w:shd w:val="clear" w:color="auto" w:fill="224197"/>
    </w:rPr>
  </w:style>
  <w:style w:type="numbering" w:customStyle="1" w:styleId="NumberedList">
    <w:name w:val="Numbered List"/>
    <w:uiPriority w:val="99"/>
    <w:rsid w:val="005548E9"/>
    <w:pPr>
      <w:numPr>
        <w:numId w:val="5"/>
      </w:numPr>
    </w:pPr>
  </w:style>
  <w:style w:type="numbering" w:customStyle="1" w:styleId="BulletedList">
    <w:name w:val="Bulleted List"/>
    <w:uiPriority w:val="99"/>
    <w:rsid w:val="005548E9"/>
    <w:pPr>
      <w:numPr>
        <w:numId w:val="6"/>
      </w:numPr>
    </w:pPr>
  </w:style>
  <w:style w:type="paragraph" w:styleId="ListParagraph">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ListParagraphChar"/>
    <w:uiPriority w:val="34"/>
    <w:qFormat/>
    <w:rsid w:val="00322642"/>
    <w:pPr>
      <w:ind w:left="720"/>
    </w:pPr>
  </w:style>
  <w:style w:type="character" w:customStyle="1" w:styleId="ListParagraphChar">
    <w:name w:val="List Paragraph Char"/>
    <w:aliases w:val="table bullets Char,Bullet List Char,FooterText Char,List Paragraph1 Char,numbered Char,Paragraphe de liste1 Char,列出段落 Char,列出段落1 Char,Bulletr List Paragraph Char,List Paragraph2 Char,List Paragraph21 Char,Párrafo de lista1 Char"/>
    <w:basedOn w:val="DefaultParagraphFont"/>
    <w:link w:val="ListParagraph"/>
    <w:uiPriority w:val="34"/>
    <w:locked/>
    <w:rsid w:val="00322642"/>
    <w:rPr>
      <w:rFonts w:ascii="Arial" w:hAnsi="Arial"/>
      <w:sz w:val="28"/>
      <w:lang w:val="en-CA"/>
    </w:rPr>
  </w:style>
  <w:style w:type="numbering" w:customStyle="1" w:styleId="BulletedList1">
    <w:name w:val="Bulleted List1"/>
    <w:uiPriority w:val="99"/>
    <w:rsid w:val="00F00A3F"/>
  </w:style>
  <w:style w:type="numbering" w:customStyle="1" w:styleId="BulletedList2">
    <w:name w:val="Bulleted List2"/>
    <w:uiPriority w:val="99"/>
    <w:rsid w:val="00EA5BD2"/>
  </w:style>
  <w:style w:type="numbering" w:customStyle="1" w:styleId="BulletedList3">
    <w:name w:val="Bulleted List3"/>
    <w:uiPriority w:val="99"/>
    <w:rsid w:val="00EA5BD2"/>
  </w:style>
  <w:style w:type="numbering" w:customStyle="1" w:styleId="BulletedList4">
    <w:name w:val="Bulleted List4"/>
    <w:uiPriority w:val="99"/>
    <w:rsid w:val="00035458"/>
  </w:style>
  <w:style w:type="paragraph" w:styleId="NormalWeb">
    <w:name w:val="Normal (Web)"/>
    <w:basedOn w:val="Normal"/>
    <w:uiPriority w:val="99"/>
    <w:semiHidden/>
    <w:locked/>
    <w:rsid w:val="00370C28"/>
    <w:rPr>
      <w:rFonts w:ascii="Times New Roman" w:hAnsi="Times New Roman" w:cs="Times New Roman"/>
      <w:sz w:val="24"/>
      <w:szCs w:val="24"/>
    </w:rPr>
  </w:style>
  <w:style w:type="paragraph" w:styleId="BodyText">
    <w:name w:val="Body Text"/>
    <w:basedOn w:val="Normal"/>
    <w:link w:val="BodyTextChar"/>
    <w:uiPriority w:val="99"/>
    <w:semiHidden/>
    <w:locked/>
    <w:rsid w:val="002478AD"/>
    <w:pPr>
      <w:spacing w:after="120"/>
    </w:pPr>
  </w:style>
  <w:style w:type="character" w:customStyle="1" w:styleId="BodyTextChar">
    <w:name w:val="Body Text Char"/>
    <w:basedOn w:val="DefaultParagraphFont"/>
    <w:link w:val="BodyText"/>
    <w:uiPriority w:val="99"/>
    <w:semiHidden/>
    <w:rsid w:val="002478AD"/>
    <w:rPr>
      <w:rFonts w:ascii="Arial" w:hAnsi="Arial"/>
      <w:sz w:val="28"/>
    </w:rPr>
  </w:style>
  <w:style w:type="paragraph" w:styleId="BodyTextFirstIndent">
    <w:name w:val="Body Text First Indent"/>
    <w:basedOn w:val="BodyText"/>
    <w:link w:val="BodyTextFirstIndentChar"/>
    <w:uiPriority w:val="99"/>
    <w:semiHidden/>
    <w:locked/>
    <w:rsid w:val="002478AD"/>
    <w:pPr>
      <w:spacing w:after="240"/>
      <w:ind w:firstLine="360"/>
    </w:pPr>
  </w:style>
  <w:style w:type="character" w:customStyle="1" w:styleId="BodyTextFirstIndentChar">
    <w:name w:val="Body Text First Indent Char"/>
    <w:basedOn w:val="BodyTextChar"/>
    <w:link w:val="BodyTextFirstIndent"/>
    <w:uiPriority w:val="99"/>
    <w:semiHidden/>
    <w:rsid w:val="002478AD"/>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548258">
      <w:bodyDiv w:val="1"/>
      <w:marLeft w:val="0"/>
      <w:marRight w:val="0"/>
      <w:marTop w:val="0"/>
      <w:marBottom w:val="0"/>
      <w:divBdr>
        <w:top w:val="none" w:sz="0" w:space="0" w:color="auto"/>
        <w:left w:val="none" w:sz="0" w:space="0" w:color="auto"/>
        <w:bottom w:val="none" w:sz="0" w:space="0" w:color="auto"/>
        <w:right w:val="none" w:sz="0" w:space="0" w:color="auto"/>
      </w:divBdr>
    </w:div>
    <w:div w:id="688602032">
      <w:bodyDiv w:val="1"/>
      <w:marLeft w:val="0"/>
      <w:marRight w:val="0"/>
      <w:marTop w:val="0"/>
      <w:marBottom w:val="0"/>
      <w:divBdr>
        <w:top w:val="none" w:sz="0" w:space="0" w:color="auto"/>
        <w:left w:val="none" w:sz="0" w:space="0" w:color="auto"/>
        <w:bottom w:val="none" w:sz="0" w:space="0" w:color="auto"/>
        <w:right w:val="none" w:sz="0" w:space="0" w:color="auto"/>
      </w:divBdr>
      <w:divsChild>
        <w:div w:id="484974825">
          <w:marLeft w:val="0"/>
          <w:marRight w:val="0"/>
          <w:marTop w:val="0"/>
          <w:marBottom w:val="0"/>
          <w:divBdr>
            <w:top w:val="none" w:sz="0" w:space="0" w:color="auto"/>
            <w:left w:val="none" w:sz="0" w:space="0" w:color="auto"/>
            <w:bottom w:val="none" w:sz="0" w:space="0" w:color="auto"/>
            <w:right w:val="none" w:sz="0" w:space="0" w:color="auto"/>
          </w:divBdr>
        </w:div>
        <w:div w:id="593393576">
          <w:marLeft w:val="0"/>
          <w:marRight w:val="0"/>
          <w:marTop w:val="0"/>
          <w:marBottom w:val="0"/>
          <w:divBdr>
            <w:top w:val="none" w:sz="0" w:space="0" w:color="auto"/>
            <w:left w:val="none" w:sz="0" w:space="0" w:color="auto"/>
            <w:bottom w:val="none" w:sz="0" w:space="0" w:color="auto"/>
            <w:right w:val="none" w:sz="0" w:space="0" w:color="auto"/>
          </w:divBdr>
        </w:div>
      </w:divsChild>
    </w:div>
    <w:div w:id="794563927">
      <w:bodyDiv w:val="1"/>
      <w:marLeft w:val="0"/>
      <w:marRight w:val="0"/>
      <w:marTop w:val="0"/>
      <w:marBottom w:val="0"/>
      <w:divBdr>
        <w:top w:val="none" w:sz="0" w:space="0" w:color="auto"/>
        <w:left w:val="none" w:sz="0" w:space="0" w:color="auto"/>
        <w:bottom w:val="none" w:sz="0" w:space="0" w:color="auto"/>
        <w:right w:val="none" w:sz="0" w:space="0" w:color="auto"/>
      </w:divBdr>
    </w:div>
    <w:div w:id="808324281">
      <w:bodyDiv w:val="1"/>
      <w:marLeft w:val="0"/>
      <w:marRight w:val="0"/>
      <w:marTop w:val="0"/>
      <w:marBottom w:val="0"/>
      <w:divBdr>
        <w:top w:val="none" w:sz="0" w:space="0" w:color="auto"/>
        <w:left w:val="none" w:sz="0" w:space="0" w:color="auto"/>
        <w:bottom w:val="none" w:sz="0" w:space="0" w:color="auto"/>
        <w:right w:val="none" w:sz="0" w:space="0" w:color="auto"/>
      </w:divBdr>
    </w:div>
    <w:div w:id="831408706">
      <w:bodyDiv w:val="1"/>
      <w:marLeft w:val="0"/>
      <w:marRight w:val="0"/>
      <w:marTop w:val="0"/>
      <w:marBottom w:val="0"/>
      <w:divBdr>
        <w:top w:val="none" w:sz="0" w:space="0" w:color="auto"/>
        <w:left w:val="none" w:sz="0" w:space="0" w:color="auto"/>
        <w:bottom w:val="none" w:sz="0" w:space="0" w:color="auto"/>
        <w:right w:val="none" w:sz="0" w:space="0" w:color="auto"/>
      </w:divBdr>
    </w:div>
    <w:div w:id="931856564">
      <w:bodyDiv w:val="1"/>
      <w:marLeft w:val="0"/>
      <w:marRight w:val="0"/>
      <w:marTop w:val="0"/>
      <w:marBottom w:val="0"/>
      <w:divBdr>
        <w:top w:val="none" w:sz="0" w:space="0" w:color="auto"/>
        <w:left w:val="none" w:sz="0" w:space="0" w:color="auto"/>
        <w:bottom w:val="none" w:sz="0" w:space="0" w:color="auto"/>
        <w:right w:val="none" w:sz="0" w:space="0" w:color="auto"/>
      </w:divBdr>
    </w:div>
    <w:div w:id="1538659053">
      <w:bodyDiv w:val="1"/>
      <w:marLeft w:val="0"/>
      <w:marRight w:val="0"/>
      <w:marTop w:val="0"/>
      <w:marBottom w:val="0"/>
      <w:divBdr>
        <w:top w:val="none" w:sz="0" w:space="0" w:color="auto"/>
        <w:left w:val="none" w:sz="0" w:space="0" w:color="auto"/>
        <w:bottom w:val="none" w:sz="0" w:space="0" w:color="auto"/>
        <w:right w:val="none" w:sz="0" w:space="0" w:color="auto"/>
      </w:divBdr>
    </w:div>
    <w:div w:id="1722292119">
      <w:bodyDiv w:val="1"/>
      <w:marLeft w:val="0"/>
      <w:marRight w:val="0"/>
      <w:marTop w:val="0"/>
      <w:marBottom w:val="0"/>
      <w:divBdr>
        <w:top w:val="none" w:sz="0" w:space="0" w:color="auto"/>
        <w:left w:val="none" w:sz="0" w:space="0" w:color="auto"/>
        <w:bottom w:val="none" w:sz="0" w:space="0" w:color="auto"/>
        <w:right w:val="none" w:sz="0" w:space="0" w:color="auto"/>
      </w:divBdr>
    </w:div>
    <w:div w:id="1801873552">
      <w:bodyDiv w:val="1"/>
      <w:marLeft w:val="0"/>
      <w:marRight w:val="0"/>
      <w:marTop w:val="0"/>
      <w:marBottom w:val="0"/>
      <w:divBdr>
        <w:top w:val="none" w:sz="0" w:space="0" w:color="auto"/>
        <w:left w:val="none" w:sz="0" w:space="0" w:color="auto"/>
        <w:bottom w:val="none" w:sz="0" w:space="0" w:color="auto"/>
        <w:right w:val="none" w:sz="0" w:space="0" w:color="auto"/>
      </w:divBdr>
    </w:div>
    <w:div w:id="1850825046">
      <w:bodyDiv w:val="1"/>
      <w:marLeft w:val="0"/>
      <w:marRight w:val="0"/>
      <w:marTop w:val="0"/>
      <w:marBottom w:val="0"/>
      <w:divBdr>
        <w:top w:val="none" w:sz="0" w:space="0" w:color="auto"/>
        <w:left w:val="none" w:sz="0" w:space="0" w:color="auto"/>
        <w:bottom w:val="none" w:sz="0" w:space="0" w:color="auto"/>
        <w:right w:val="none" w:sz="0" w:space="0" w:color="auto"/>
      </w:divBdr>
    </w:div>
    <w:div w:id="187138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yperlink" Target="http://idea.ap.buffalo.edu/wp-content/uploads/sites/110/2019/08/20.pdf"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store.standards.org.au/product/as-1428-5-2010"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hyperlink" Target="https://rosap.ntl.bts.gov/view/dot/6479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codes.iccsafe.org/content/icca117-12017P4"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accessibilite.canada.ca/" TargetMode="External"/><Relationship Id="rId28" Type="http://schemas.openxmlformats.org/officeDocument/2006/relationships/hyperlink" Target="https://islandpress.org/books/when-driving-not-option" TargetMode="Externa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hyperlink" Target="https://doi.org/10.1371/journal.pone.0214799"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42FEF52-9001-4726-95A6-3E72A9B1629C}"/>
      </w:docPartPr>
      <w:docPartBody>
        <w:p w:rsidR="00E25098" w:rsidRDefault="00E25098">
          <w:r w:rsidRPr="00F965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98"/>
    <w:rsid w:val="00032710"/>
    <w:rsid w:val="00034BE3"/>
    <w:rsid w:val="00036059"/>
    <w:rsid w:val="000540DB"/>
    <w:rsid w:val="0006163F"/>
    <w:rsid w:val="000645C9"/>
    <w:rsid w:val="000C02BD"/>
    <w:rsid w:val="000D0472"/>
    <w:rsid w:val="00102109"/>
    <w:rsid w:val="0011038C"/>
    <w:rsid w:val="00131506"/>
    <w:rsid w:val="00132976"/>
    <w:rsid w:val="001468F3"/>
    <w:rsid w:val="00167BF7"/>
    <w:rsid w:val="00174262"/>
    <w:rsid w:val="0017678F"/>
    <w:rsid w:val="00184FA6"/>
    <w:rsid w:val="001A5DAE"/>
    <w:rsid w:val="001A7E96"/>
    <w:rsid w:val="001C6C41"/>
    <w:rsid w:val="001D27D0"/>
    <w:rsid w:val="00214CC2"/>
    <w:rsid w:val="00233BFF"/>
    <w:rsid w:val="00235D20"/>
    <w:rsid w:val="002410CB"/>
    <w:rsid w:val="00255F99"/>
    <w:rsid w:val="0026667B"/>
    <w:rsid w:val="00283A41"/>
    <w:rsid w:val="00283F6A"/>
    <w:rsid w:val="0029335F"/>
    <w:rsid w:val="002A0CC4"/>
    <w:rsid w:val="002C07EC"/>
    <w:rsid w:val="002C5CEF"/>
    <w:rsid w:val="002D23FF"/>
    <w:rsid w:val="002D33E5"/>
    <w:rsid w:val="002D35F1"/>
    <w:rsid w:val="002E4E18"/>
    <w:rsid w:val="002E5B0E"/>
    <w:rsid w:val="002F5C24"/>
    <w:rsid w:val="00316D3D"/>
    <w:rsid w:val="00317B7B"/>
    <w:rsid w:val="00323317"/>
    <w:rsid w:val="00344866"/>
    <w:rsid w:val="003514D6"/>
    <w:rsid w:val="003549F8"/>
    <w:rsid w:val="003A5757"/>
    <w:rsid w:val="003A5A22"/>
    <w:rsid w:val="003B3062"/>
    <w:rsid w:val="0041178F"/>
    <w:rsid w:val="004132A1"/>
    <w:rsid w:val="00416E6B"/>
    <w:rsid w:val="004302B0"/>
    <w:rsid w:val="004313D4"/>
    <w:rsid w:val="0043153D"/>
    <w:rsid w:val="00435264"/>
    <w:rsid w:val="00436D5A"/>
    <w:rsid w:val="00443265"/>
    <w:rsid w:val="00445DFC"/>
    <w:rsid w:val="00451531"/>
    <w:rsid w:val="00451545"/>
    <w:rsid w:val="00455176"/>
    <w:rsid w:val="00471950"/>
    <w:rsid w:val="00481248"/>
    <w:rsid w:val="004920F6"/>
    <w:rsid w:val="004B1D35"/>
    <w:rsid w:val="004C3AEB"/>
    <w:rsid w:val="004D1185"/>
    <w:rsid w:val="004F75BA"/>
    <w:rsid w:val="0050537A"/>
    <w:rsid w:val="00505406"/>
    <w:rsid w:val="00507213"/>
    <w:rsid w:val="00521321"/>
    <w:rsid w:val="00531FF9"/>
    <w:rsid w:val="00536D20"/>
    <w:rsid w:val="0054270C"/>
    <w:rsid w:val="00566E65"/>
    <w:rsid w:val="005735A5"/>
    <w:rsid w:val="005A29E6"/>
    <w:rsid w:val="005B49C9"/>
    <w:rsid w:val="005D7DE2"/>
    <w:rsid w:val="005E56B0"/>
    <w:rsid w:val="00622882"/>
    <w:rsid w:val="006275FF"/>
    <w:rsid w:val="00631D20"/>
    <w:rsid w:val="00652F14"/>
    <w:rsid w:val="006934D7"/>
    <w:rsid w:val="0069531B"/>
    <w:rsid w:val="00697CDF"/>
    <w:rsid w:val="006C78AA"/>
    <w:rsid w:val="006D008E"/>
    <w:rsid w:val="006E32E1"/>
    <w:rsid w:val="006F019F"/>
    <w:rsid w:val="006F2DFB"/>
    <w:rsid w:val="0070240F"/>
    <w:rsid w:val="00711FAF"/>
    <w:rsid w:val="00717695"/>
    <w:rsid w:val="007407BE"/>
    <w:rsid w:val="0076577A"/>
    <w:rsid w:val="007721D8"/>
    <w:rsid w:val="00777548"/>
    <w:rsid w:val="007826A9"/>
    <w:rsid w:val="007A4CA6"/>
    <w:rsid w:val="007A51F8"/>
    <w:rsid w:val="007D784B"/>
    <w:rsid w:val="007F4EA8"/>
    <w:rsid w:val="00857E11"/>
    <w:rsid w:val="008640B9"/>
    <w:rsid w:val="008931BF"/>
    <w:rsid w:val="008A3DE3"/>
    <w:rsid w:val="008D428D"/>
    <w:rsid w:val="008F062C"/>
    <w:rsid w:val="00925BCF"/>
    <w:rsid w:val="0094323F"/>
    <w:rsid w:val="00970710"/>
    <w:rsid w:val="009725F2"/>
    <w:rsid w:val="00972860"/>
    <w:rsid w:val="0098040B"/>
    <w:rsid w:val="009B2341"/>
    <w:rsid w:val="009B26D5"/>
    <w:rsid w:val="009B38D6"/>
    <w:rsid w:val="009B3FFE"/>
    <w:rsid w:val="009B7770"/>
    <w:rsid w:val="009C3AE4"/>
    <w:rsid w:val="009E4EEF"/>
    <w:rsid w:val="009E61DD"/>
    <w:rsid w:val="009F3D72"/>
    <w:rsid w:val="009F5817"/>
    <w:rsid w:val="00A31151"/>
    <w:rsid w:val="00A374BC"/>
    <w:rsid w:val="00A41170"/>
    <w:rsid w:val="00A63762"/>
    <w:rsid w:val="00A95572"/>
    <w:rsid w:val="00A972A4"/>
    <w:rsid w:val="00AB22D7"/>
    <w:rsid w:val="00AC2150"/>
    <w:rsid w:val="00AC3C1D"/>
    <w:rsid w:val="00AD7CE8"/>
    <w:rsid w:val="00B17F8A"/>
    <w:rsid w:val="00B22E48"/>
    <w:rsid w:val="00B7161F"/>
    <w:rsid w:val="00B73F06"/>
    <w:rsid w:val="00BC4959"/>
    <w:rsid w:val="00BC505B"/>
    <w:rsid w:val="00BD5F25"/>
    <w:rsid w:val="00C27ACC"/>
    <w:rsid w:val="00C65C41"/>
    <w:rsid w:val="00C67A8A"/>
    <w:rsid w:val="00C72C9F"/>
    <w:rsid w:val="00C845BC"/>
    <w:rsid w:val="00CA1D96"/>
    <w:rsid w:val="00CB4169"/>
    <w:rsid w:val="00CF28BF"/>
    <w:rsid w:val="00D00A64"/>
    <w:rsid w:val="00D00E2A"/>
    <w:rsid w:val="00D06912"/>
    <w:rsid w:val="00D33D1F"/>
    <w:rsid w:val="00D43FAB"/>
    <w:rsid w:val="00D73BF9"/>
    <w:rsid w:val="00D77F6F"/>
    <w:rsid w:val="00D81D01"/>
    <w:rsid w:val="00D941C5"/>
    <w:rsid w:val="00DA3BAB"/>
    <w:rsid w:val="00DB6F67"/>
    <w:rsid w:val="00DC66DE"/>
    <w:rsid w:val="00DE10C5"/>
    <w:rsid w:val="00DE636C"/>
    <w:rsid w:val="00E06D6B"/>
    <w:rsid w:val="00E1166B"/>
    <w:rsid w:val="00E12BF7"/>
    <w:rsid w:val="00E17BC2"/>
    <w:rsid w:val="00E25098"/>
    <w:rsid w:val="00E31E51"/>
    <w:rsid w:val="00E51DB5"/>
    <w:rsid w:val="00E82597"/>
    <w:rsid w:val="00E855AC"/>
    <w:rsid w:val="00E90294"/>
    <w:rsid w:val="00E91E24"/>
    <w:rsid w:val="00EA2C6D"/>
    <w:rsid w:val="00EA331B"/>
    <w:rsid w:val="00EB08E7"/>
    <w:rsid w:val="00EC5FC9"/>
    <w:rsid w:val="00ED3F2D"/>
    <w:rsid w:val="00EF3794"/>
    <w:rsid w:val="00EF65FD"/>
    <w:rsid w:val="00F17972"/>
    <w:rsid w:val="00F31738"/>
    <w:rsid w:val="00F377EE"/>
    <w:rsid w:val="00F50CC9"/>
    <w:rsid w:val="00F71E3F"/>
    <w:rsid w:val="00F87EFC"/>
    <w:rsid w:val="00FC7611"/>
    <w:rsid w:val="00FD3D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5"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5"/>
    <w:qFormat/>
    <w:rsid w:val="00E25098"/>
    <w:rPr>
      <w:color w:val="auto"/>
      <w:bdr w:val="none" w:sz="0" w:space="0" w:color="auto"/>
      <w:shd w:val="clear" w:color="auto" w:fill="FFFF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7fda974213e460b9266db1afc5ff402 xmlns="f76aaf80-9812-406c-9dd3-ccb851cf3a75">
      <Terms xmlns="http://schemas.microsoft.com/office/infopath/2007/PartnerControls"/>
    </f7fda974213e460b9266db1afc5ff402>
    <ArchivalValue xmlns="f76aaf80-9812-406c-9dd3-ccb851cf3a75">false</ArchivalValue>
    <_dlc_DocId xmlns="09e9e979-c566-4ca4-8cc6-5f7344130bd6">85895-1236222517-1625</_dlc_DocId>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IBV xmlns="f76aaf80-9812-406c-9dd3-ccb851cf3a75">false</IBV>
    <k45df8733c764becbc2c79c551f2ed1d xmlns="f76aaf80-9812-406c-9dd3-ccb851cf3a75">
      <Terms xmlns="http://schemas.microsoft.com/office/infopath/2007/PartnerControls"/>
    </k45df8733c764becbc2c79c551f2ed1d>
    <_dlc_DocIdUrl xmlns="09e9e979-c566-4ca4-8cc6-5f7344130bd6">
      <Url>https://014gc.sharepoint.com/sites/85895/_layouts/15/DocIdRedir.aspx?ID=85895-1236222517-1625</Url>
      <Description>85895-1236222517-1625</Description>
    </_dlc_DocIdUrl>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TaxCatchAll xmlns="f76aaf80-9812-406c-9dd3-ccb851cf3a75">
      <Value>1</Value>
      <Value>6</Value>
    </TaxCatchAll>
    <DateReceived xmlns="f76aaf80-9812-406c-9dd3-ccb851cf3a75">2025-05-17T19:45:53+00:00</DateReceived>
    <Email_x005f_x0020_Date xmlns="f76aaf80-9812-406c-9dd3-ccb851cf3a75" xsi:nil="true"/>
    <Email_x005f_x0020_Attachments xmlns="f76aaf80-9812-406c-9dd3-ccb851cf3a75" xsi:nil="true"/>
    <Email_x005f_x0020_From xmlns="f76aaf80-9812-406c-9dd3-ccb851cf3a75" xsi:nil="tr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Email_x005f_x0020_CC xmlns="f76aaf80-9812-406c-9dd3-ccb851cf3a75" xsi:nil="true"/>
  </documentManagement>
</p:properties>
</file>

<file path=customXml/item2.xml><?xml version="1.0" encoding="utf-8"?>
<?mso-contentType ?>
<SharedContentType xmlns="Microsoft.SharePoint.Taxonomy.ContentTypeSync" SourceId="3fa6f064-5af2-4239-ab23-685642d59544" ContentTypeId="0x0101002B64EA82F63FB340BFA35F0D8A06CC75"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Core Document" ma:contentTypeID="0x0101002B64EA82F63FB340BFA35F0D8A06CC7500E9DB1425EEDAFE4F9C36DE0964A41899" ma:contentTypeVersion="211" ma:contentTypeDescription="" ma:contentTypeScope="" ma:versionID="a0ba46d071096f597d40f6c5774a9e42">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05b5596f0a70b58f7b357bb83aa5f3ed"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20_Categories"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Date Received"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20_Categories" ma:index="10" nillable="true" ma:displayName="Email Categories" ma:hidden="true" ma:internalName="Email_x0020_Categories" ma:readOnly="false">
      <xsd:simpleType>
        <xsd:restriction base="dms:Text">
          <xsd:maxLength value="255"/>
        </xsd:restriction>
      </xsd:simpleType>
    </xsd:element>
    <xsd:element name="Email_x005f_x0020_Date" ma:index="11" nillable="true" ma:displayName="Email Date" ma:description="Email Date" ma:format="DateOnly" ma:hidden="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default="1;#Canadian Accessibility Standards Development Organization|cbe20321-46ca-42d2-af29-64eec9968096"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1F31E-D004-481B-A801-C4B2831B4EE2}">
  <ds:schemaRefs>
    <ds:schemaRef ds:uri="http://schemas.microsoft.com/office/2006/metadata/properties"/>
    <ds:schemaRef ds:uri="http://schemas.microsoft.com/office/infopath/2007/PartnerControls"/>
    <ds:schemaRef ds:uri="f76aaf80-9812-406c-9dd3-ccb851cf3a75"/>
    <ds:schemaRef ds:uri="09e9e979-c566-4ca4-8cc6-5f7344130bd6"/>
  </ds:schemaRefs>
</ds:datastoreItem>
</file>

<file path=customXml/itemProps2.xml><?xml version="1.0" encoding="utf-8"?>
<ds:datastoreItem xmlns:ds="http://schemas.openxmlformats.org/officeDocument/2006/customXml" ds:itemID="{47DE60E4-318B-4A3F-AEEA-3C77FB28F4C6}">
  <ds:schemaRefs>
    <ds:schemaRef ds:uri="Microsoft.SharePoint.Taxonomy.ContentTypeSync"/>
  </ds:schemaRefs>
</ds:datastoreItem>
</file>

<file path=customXml/itemProps3.xml><?xml version="1.0" encoding="utf-8"?>
<ds:datastoreItem xmlns:ds="http://schemas.openxmlformats.org/officeDocument/2006/customXml" ds:itemID="{D82E4BA5-8ECD-4D20-B136-83E37F6AAF3A}">
  <ds:schemaRefs>
    <ds:schemaRef ds:uri="http://schemas.microsoft.com/sharepoint/events"/>
  </ds:schemaRefs>
</ds:datastoreItem>
</file>

<file path=customXml/itemProps4.xml><?xml version="1.0" encoding="utf-8"?>
<ds:datastoreItem xmlns:ds="http://schemas.openxmlformats.org/officeDocument/2006/customXml" ds:itemID="{9838035A-71E7-47D1-9081-AFEEA1A3E3FD}">
  <ds:schemaRefs>
    <ds:schemaRef ds:uri="http://schemas.openxmlformats.org/officeDocument/2006/bibliography"/>
  </ds:schemaRefs>
</ds:datastoreItem>
</file>

<file path=customXml/itemProps5.xml><?xml version="1.0" encoding="utf-8"?>
<ds:datastoreItem xmlns:ds="http://schemas.openxmlformats.org/officeDocument/2006/customXml" ds:itemID="{F36D6CF1-EC97-4BD5-8FC4-1ED05568D761}">
  <ds:schemaRefs>
    <ds:schemaRef ds:uri="http://schemas.microsoft.com/sharepoint/v3/contenttype/forms"/>
  </ds:schemaRefs>
</ds:datastoreItem>
</file>

<file path=customXml/itemProps6.xml><?xml version="1.0" encoding="utf-8"?>
<ds:datastoreItem xmlns:ds="http://schemas.openxmlformats.org/officeDocument/2006/customXml" ds:itemID="{6E464B67-F853-48F4-81E1-BBCCA113B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aaf80-9812-406c-9dd3-ccb851cf3a75"/>
    <ds:schemaRef ds:uri="09e9e979-c566-4ca4-8cc6-5f734413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d55846-8a81-4246-acd8-b1a01abfc0d1}" enabled="0" method="" siteId="{9ed55846-8a81-4246-acd8-b1a01abfc0d1}" removed="1"/>
</clbl:labelList>
</file>

<file path=docProps/app.xml><?xml version="1.0" encoding="utf-8"?>
<Properties xmlns="http://schemas.openxmlformats.org/officeDocument/2006/extended-properties" xmlns:vt="http://schemas.openxmlformats.org/officeDocument/2006/docPropsVTypes">
  <Template>Normal</Template>
  <TotalTime>1</TotalTime>
  <Pages>121</Pages>
  <Words>24040</Words>
  <Characters>137512</Characters>
  <Application>Microsoft Office Word</Application>
  <DocSecurity>8</DocSecurity>
  <Lines>3125</Lines>
  <Paragraphs>1524</Paragraphs>
  <ScaleCrop>false</ScaleCrop>
  <Company/>
  <LinksUpToDate>false</LinksUpToDate>
  <CharactersWithSpaces>160028</CharactersWithSpaces>
  <SharedDoc>false</SharedDoc>
  <HLinks>
    <vt:vector size="1212" baseType="variant">
      <vt:variant>
        <vt:i4>3670052</vt:i4>
      </vt:variant>
      <vt:variant>
        <vt:i4>927</vt:i4>
      </vt:variant>
      <vt:variant>
        <vt:i4>0</vt:i4>
      </vt:variant>
      <vt:variant>
        <vt:i4>5</vt:i4>
      </vt:variant>
      <vt:variant>
        <vt:lpwstr>https://www.frontiersin.org/journals/education/articles/10.3389/feduc.2021.723816/full</vt:lpwstr>
      </vt:variant>
      <vt:variant>
        <vt:lpwstr/>
      </vt:variant>
      <vt:variant>
        <vt:i4>4128808</vt:i4>
      </vt:variant>
      <vt:variant>
        <vt:i4>924</vt:i4>
      </vt:variant>
      <vt:variant>
        <vt:i4>0</vt:i4>
      </vt:variant>
      <vt:variant>
        <vt:i4>5</vt:i4>
      </vt:variant>
      <vt:variant>
        <vt:lpwstr>https://www.frontiersin.org/journals/education/articles/10.3389/feduc.2020.572641/full</vt:lpwstr>
      </vt:variant>
      <vt:variant>
        <vt:lpwstr/>
      </vt:variant>
      <vt:variant>
        <vt:i4>4718658</vt:i4>
      </vt:variant>
      <vt:variant>
        <vt:i4>921</vt:i4>
      </vt:variant>
      <vt:variant>
        <vt:i4>0</vt:i4>
      </vt:variant>
      <vt:variant>
        <vt:i4>5</vt:i4>
      </vt:variant>
      <vt:variant>
        <vt:lpwstr>https://rosap.ntl.bts.gov/view/dot/64796</vt:lpwstr>
      </vt:variant>
      <vt:variant>
        <vt:lpwstr/>
      </vt:variant>
      <vt:variant>
        <vt:i4>5439503</vt:i4>
      </vt:variant>
      <vt:variant>
        <vt:i4>918</vt:i4>
      </vt:variant>
      <vt:variant>
        <vt:i4>0</vt:i4>
      </vt:variant>
      <vt:variant>
        <vt:i4>5</vt:i4>
      </vt:variant>
      <vt:variant>
        <vt:lpwstr>https://islandpress.org/books/when-driving-not-option</vt:lpwstr>
      </vt:variant>
      <vt:variant>
        <vt:lpwstr>desc</vt:lpwstr>
      </vt:variant>
      <vt:variant>
        <vt:i4>4390986</vt:i4>
      </vt:variant>
      <vt:variant>
        <vt:i4>915</vt:i4>
      </vt:variant>
      <vt:variant>
        <vt:i4>0</vt:i4>
      </vt:variant>
      <vt:variant>
        <vt:i4>5</vt:i4>
      </vt:variant>
      <vt:variant>
        <vt:lpwstr>https://doi.org/10.1371/journal.pone.0214799</vt:lpwstr>
      </vt:variant>
      <vt:variant>
        <vt:lpwstr/>
      </vt:variant>
      <vt:variant>
        <vt:i4>3801127</vt:i4>
      </vt:variant>
      <vt:variant>
        <vt:i4>912</vt:i4>
      </vt:variant>
      <vt:variant>
        <vt:i4>0</vt:i4>
      </vt:variant>
      <vt:variant>
        <vt:i4>5</vt:i4>
      </vt:variant>
      <vt:variant>
        <vt:lpwstr>http://idea.ap.buffalo.edu/wp-content/uploads/sites/110/2019/08/20.pdf</vt:lpwstr>
      </vt:variant>
      <vt:variant>
        <vt:lpwstr/>
      </vt:variant>
      <vt:variant>
        <vt:i4>589918</vt:i4>
      </vt:variant>
      <vt:variant>
        <vt:i4>909</vt:i4>
      </vt:variant>
      <vt:variant>
        <vt:i4>0</vt:i4>
      </vt:variant>
      <vt:variant>
        <vt:i4>5</vt:i4>
      </vt:variant>
      <vt:variant>
        <vt:lpwstr>https://clearingourpath.ca/index.php/language/fr/repport-final-ouvrir-la-voie-projet-asc/</vt:lpwstr>
      </vt:variant>
      <vt:variant>
        <vt:lpwstr/>
      </vt:variant>
      <vt:variant>
        <vt:i4>2031700</vt:i4>
      </vt:variant>
      <vt:variant>
        <vt:i4>906</vt:i4>
      </vt:variant>
      <vt:variant>
        <vt:i4>0</vt:i4>
      </vt:variant>
      <vt:variant>
        <vt:i4>5</vt:i4>
      </vt:variant>
      <vt:variant>
        <vt:lpwstr>https://clearingourpath.ca/index.php/language/fr/accueil/</vt:lpwstr>
      </vt:variant>
      <vt:variant>
        <vt:lpwstr/>
      </vt:variant>
      <vt:variant>
        <vt:i4>2031700</vt:i4>
      </vt:variant>
      <vt:variant>
        <vt:i4>903</vt:i4>
      </vt:variant>
      <vt:variant>
        <vt:i4>0</vt:i4>
      </vt:variant>
      <vt:variant>
        <vt:i4>5</vt:i4>
      </vt:variant>
      <vt:variant>
        <vt:lpwstr>https://clearingourpath.ca/index.php/language/fr/accueil/</vt:lpwstr>
      </vt:variant>
      <vt:variant>
        <vt:lpwstr/>
      </vt:variant>
      <vt:variant>
        <vt:i4>3342439</vt:i4>
      </vt:variant>
      <vt:variant>
        <vt:i4>900</vt:i4>
      </vt:variant>
      <vt:variant>
        <vt:i4>0</vt:i4>
      </vt:variant>
      <vt:variant>
        <vt:i4>5</vt:i4>
      </vt:variant>
      <vt:variant>
        <vt:lpwstr>https://www.brailleliteracycanada.ca/storage/standards/BLC Accessible Signage Guidelines 2024.docx</vt:lpwstr>
      </vt:variant>
      <vt:variant>
        <vt:lpwstr/>
      </vt:variant>
      <vt:variant>
        <vt:i4>4194320</vt:i4>
      </vt:variant>
      <vt:variant>
        <vt:i4>897</vt:i4>
      </vt:variant>
      <vt:variant>
        <vt:i4>0</vt:i4>
      </vt:variant>
      <vt:variant>
        <vt:i4>5</vt:i4>
      </vt:variant>
      <vt:variant>
        <vt:lpwstr>https://www.brailleliteracycanada.ca/storage/standards/BLC Accessible Signage Guidelines 2024.pdf</vt:lpwstr>
      </vt:variant>
      <vt:variant>
        <vt:lpwstr/>
      </vt:variant>
      <vt:variant>
        <vt:i4>4784146</vt:i4>
      </vt:variant>
      <vt:variant>
        <vt:i4>894</vt:i4>
      </vt:variant>
      <vt:variant>
        <vt:i4>0</vt:i4>
      </vt:variant>
      <vt:variant>
        <vt:i4>5</vt:i4>
      </vt:variant>
      <vt:variant>
        <vt:lpwstr>https://store.standards.org.au/product/as-1428-5-2010</vt:lpwstr>
      </vt:variant>
      <vt:variant>
        <vt:lpwstr/>
      </vt:variant>
      <vt:variant>
        <vt:i4>2097186</vt:i4>
      </vt:variant>
      <vt:variant>
        <vt:i4>891</vt:i4>
      </vt:variant>
      <vt:variant>
        <vt:i4>0</vt:i4>
      </vt:variant>
      <vt:variant>
        <vt:i4>5</vt:i4>
      </vt:variant>
      <vt:variant>
        <vt:lpwstr>https://www.iso.org/fr/standard/71860.html</vt:lpwstr>
      </vt:variant>
      <vt:variant>
        <vt:lpwstr/>
      </vt:variant>
      <vt:variant>
        <vt:i4>2162733</vt:i4>
      </vt:variant>
      <vt:variant>
        <vt:i4>888</vt:i4>
      </vt:variant>
      <vt:variant>
        <vt:i4>0</vt:i4>
      </vt:variant>
      <vt:variant>
        <vt:i4>5</vt:i4>
      </vt:variant>
      <vt:variant>
        <vt:lpwstr>https://www.iso.org/fr/standard/76106.html</vt:lpwstr>
      </vt:variant>
      <vt:variant>
        <vt:lpwstr/>
      </vt:variant>
      <vt:variant>
        <vt:i4>2555949</vt:i4>
      </vt:variant>
      <vt:variant>
        <vt:i4>885</vt:i4>
      </vt:variant>
      <vt:variant>
        <vt:i4>0</vt:i4>
      </vt:variant>
      <vt:variant>
        <vt:i4>5</vt:i4>
      </vt:variant>
      <vt:variant>
        <vt:lpwstr>https://www.iso.org/fr/standard/72126.html</vt:lpwstr>
      </vt:variant>
      <vt:variant>
        <vt:lpwstr/>
      </vt:variant>
      <vt:variant>
        <vt:i4>2555950</vt:i4>
      </vt:variant>
      <vt:variant>
        <vt:i4>882</vt:i4>
      </vt:variant>
      <vt:variant>
        <vt:i4>0</vt:i4>
      </vt:variant>
      <vt:variant>
        <vt:i4>5</vt:i4>
      </vt:variant>
      <vt:variant>
        <vt:lpwstr>https://www.iso.org/fr/standard/58086.html</vt:lpwstr>
      </vt:variant>
      <vt:variant>
        <vt:lpwstr/>
      </vt:variant>
      <vt:variant>
        <vt:i4>2621486</vt:i4>
      </vt:variant>
      <vt:variant>
        <vt:i4>879</vt:i4>
      </vt:variant>
      <vt:variant>
        <vt:i4>0</vt:i4>
      </vt:variant>
      <vt:variant>
        <vt:i4>5</vt:i4>
      </vt:variant>
      <vt:variant>
        <vt:lpwstr>https://www.iso.org/fr/standard/57385.html</vt:lpwstr>
      </vt:variant>
      <vt:variant>
        <vt:lpwstr/>
      </vt:variant>
      <vt:variant>
        <vt:i4>3014692</vt:i4>
      </vt:variant>
      <vt:variant>
        <vt:i4>876</vt:i4>
      </vt:variant>
      <vt:variant>
        <vt:i4>0</vt:i4>
      </vt:variant>
      <vt:variant>
        <vt:i4>5</vt:i4>
      </vt:variant>
      <vt:variant>
        <vt:lpwstr>https://www.iso.org/fr/standard/79608.html</vt:lpwstr>
      </vt:variant>
      <vt:variant>
        <vt:lpwstr/>
      </vt:variant>
      <vt:variant>
        <vt:i4>2687023</vt:i4>
      </vt:variant>
      <vt:variant>
        <vt:i4>873</vt:i4>
      </vt:variant>
      <vt:variant>
        <vt:i4>0</vt:i4>
      </vt:variant>
      <vt:variant>
        <vt:i4>5</vt:i4>
      </vt:variant>
      <vt:variant>
        <vt:lpwstr>https://www.iso.org/fr/standard/67692.html</vt:lpwstr>
      </vt:variant>
      <vt:variant>
        <vt:lpwstr/>
      </vt:variant>
      <vt:variant>
        <vt:i4>2621480</vt:i4>
      </vt:variant>
      <vt:variant>
        <vt:i4>870</vt:i4>
      </vt:variant>
      <vt:variant>
        <vt:i4>0</vt:i4>
      </vt:variant>
      <vt:variant>
        <vt:i4>5</vt:i4>
      </vt:variant>
      <vt:variant>
        <vt:lpwstr>https://www.iso.org/fr/standard/56797.html</vt:lpwstr>
      </vt:variant>
      <vt:variant>
        <vt:lpwstr/>
      </vt:variant>
      <vt:variant>
        <vt:i4>2424876</vt:i4>
      </vt:variant>
      <vt:variant>
        <vt:i4>867</vt:i4>
      </vt:variant>
      <vt:variant>
        <vt:i4>0</vt:i4>
      </vt:variant>
      <vt:variant>
        <vt:i4>5</vt:i4>
      </vt:variant>
      <vt:variant>
        <vt:lpwstr>https://www.iso.org/fr/standard/44762.html</vt:lpwstr>
      </vt:variant>
      <vt:variant>
        <vt:lpwstr/>
      </vt:variant>
      <vt:variant>
        <vt:i4>2555946</vt:i4>
      </vt:variant>
      <vt:variant>
        <vt:i4>864</vt:i4>
      </vt:variant>
      <vt:variant>
        <vt:i4>0</vt:i4>
      </vt:variant>
      <vt:variant>
        <vt:i4>5</vt:i4>
      </vt:variant>
      <vt:variant>
        <vt:lpwstr>https://www.iso.org/fr/standard/72424.html</vt:lpwstr>
      </vt:variant>
      <vt:variant>
        <vt:lpwstr/>
      </vt:variant>
      <vt:variant>
        <vt:i4>6553658</vt:i4>
      </vt:variant>
      <vt:variant>
        <vt:i4>861</vt:i4>
      </vt:variant>
      <vt:variant>
        <vt:i4>0</vt:i4>
      </vt:variant>
      <vt:variant>
        <vt:i4>5</vt:i4>
      </vt:variant>
      <vt:variant>
        <vt:lpwstr>https://standards.iteh.ai/catalog/standards/cen/9ac3881a-305b-4b6a-836f-5f436fc1203c/cen-tr-17621-2021</vt:lpwstr>
      </vt:variant>
      <vt:variant>
        <vt:lpwstr/>
      </vt:variant>
      <vt:variant>
        <vt:i4>2490478</vt:i4>
      </vt:variant>
      <vt:variant>
        <vt:i4>858</vt:i4>
      </vt:variant>
      <vt:variant>
        <vt:i4>0</vt:i4>
      </vt:variant>
      <vt:variant>
        <vt:i4>5</vt:i4>
      </vt:variant>
      <vt:variant>
        <vt:lpwstr>https://standards.iteh.ai/catalog/standards/cen/458b7c84-e47b-479c-bc60-82e3e94a4057/en-17210-2021</vt:lpwstr>
      </vt:variant>
      <vt:variant>
        <vt:lpwstr/>
      </vt:variant>
      <vt:variant>
        <vt:i4>393313</vt:i4>
      </vt:variant>
      <vt:variant>
        <vt:i4>855</vt:i4>
      </vt:variant>
      <vt:variant>
        <vt:i4>0</vt:i4>
      </vt:variant>
      <vt:variant>
        <vt:i4>5</vt:i4>
      </vt:variant>
      <vt:variant>
        <vt:lpwstr>https://documents.ottawa.ca/sites/default/files/documents/accessibility_design_standards_fr.pdf</vt:lpwstr>
      </vt:variant>
      <vt:variant>
        <vt:lpwstr/>
      </vt:variant>
      <vt:variant>
        <vt:i4>1966167</vt:i4>
      </vt:variant>
      <vt:variant>
        <vt:i4>852</vt:i4>
      </vt:variant>
      <vt:variant>
        <vt:i4>0</vt:i4>
      </vt:variant>
      <vt:variant>
        <vt:i4>5</vt:i4>
      </vt:variant>
      <vt:variant>
        <vt:lpwstr>https://www.mississauga.ca/file/COM/City_Of_Mississauga_Facility_Accessibility_Design_Standards.pdf</vt:lpwstr>
      </vt:variant>
      <vt:variant>
        <vt:lpwstr/>
      </vt:variant>
      <vt:variant>
        <vt:i4>458772</vt:i4>
      </vt:variant>
      <vt:variant>
        <vt:i4>849</vt:i4>
      </vt:variant>
      <vt:variant>
        <vt:i4>0</vt:i4>
      </vt:variant>
      <vt:variant>
        <vt:i4>5</vt:i4>
      </vt:variant>
      <vt:variant>
        <vt:lpwstr>https://codes.iccsafe.org/content/icca117-12017P4</vt:lpwstr>
      </vt:variant>
      <vt:variant>
        <vt:lpwstr/>
      </vt:variant>
      <vt:variant>
        <vt:i4>3014770</vt:i4>
      </vt:variant>
      <vt:variant>
        <vt:i4>846</vt:i4>
      </vt:variant>
      <vt:variant>
        <vt:i4>0</vt:i4>
      </vt:variant>
      <vt:variant>
        <vt:i4>5</vt:i4>
      </vt:variant>
      <vt:variant>
        <vt:lpwstr>https://www.csagroup.org/store/product/2702626/</vt:lpwstr>
      </vt:variant>
      <vt:variant>
        <vt:lpwstr/>
      </vt:variant>
      <vt:variant>
        <vt:i4>8192108</vt:i4>
      </vt:variant>
      <vt:variant>
        <vt:i4>843</vt:i4>
      </vt:variant>
      <vt:variant>
        <vt:i4>0</vt:i4>
      </vt:variant>
      <vt:variant>
        <vt:i4>5</vt:i4>
      </vt:variant>
      <vt:variant>
        <vt:lpwstr>https://laws-lois.justice.gc.ca/eng/acts/a-0.6/</vt:lpwstr>
      </vt:variant>
      <vt:variant>
        <vt:lpwstr/>
      </vt:variant>
      <vt:variant>
        <vt:i4>65559</vt:i4>
      </vt:variant>
      <vt:variant>
        <vt:i4>840</vt:i4>
      </vt:variant>
      <vt:variant>
        <vt:i4>0</vt:i4>
      </vt:variant>
      <vt:variant>
        <vt:i4>5</vt:i4>
      </vt:variant>
      <vt:variant>
        <vt:lpwstr>https://www.abcb.gov.au/sites/default/files/resources/2020/Advisory-Note-Slip-Resistance.pdf</vt:lpwstr>
      </vt:variant>
      <vt:variant>
        <vt:lpwstr/>
      </vt:variant>
      <vt:variant>
        <vt:i4>2818081</vt:i4>
      </vt:variant>
      <vt:variant>
        <vt:i4>837</vt:i4>
      </vt:variant>
      <vt:variant>
        <vt:i4>0</vt:i4>
      </vt:variant>
      <vt:variant>
        <vt:i4>5</vt:i4>
      </vt:variant>
      <vt:variant>
        <vt:lpwstr/>
      </vt:variant>
      <vt:variant>
        <vt:lpwstr>_Colour_contrast</vt:lpwstr>
      </vt:variant>
      <vt:variant>
        <vt:i4>6422605</vt:i4>
      </vt:variant>
      <vt:variant>
        <vt:i4>834</vt:i4>
      </vt:variant>
      <vt:variant>
        <vt:i4>0</vt:i4>
      </vt:variant>
      <vt:variant>
        <vt:i4>5</vt:i4>
      </vt:variant>
      <vt:variant>
        <vt:lpwstr/>
      </vt:variant>
      <vt:variant>
        <vt:lpwstr>_Choix_des_couleurs</vt:lpwstr>
      </vt:variant>
      <vt:variant>
        <vt:i4>6815844</vt:i4>
      </vt:variant>
      <vt:variant>
        <vt:i4>831</vt:i4>
      </vt:variant>
      <vt:variant>
        <vt:i4>0</vt:i4>
      </vt:variant>
      <vt:variant>
        <vt:i4>5</vt:i4>
      </vt:variant>
      <vt:variant>
        <vt:lpwstr/>
      </vt:variant>
      <vt:variant>
        <vt:lpwstr>_Luminance_contrast</vt:lpwstr>
      </vt:variant>
      <vt:variant>
        <vt:i4>1638460</vt:i4>
      </vt:variant>
      <vt:variant>
        <vt:i4>828</vt:i4>
      </vt:variant>
      <vt:variant>
        <vt:i4>0</vt:i4>
      </vt:variant>
      <vt:variant>
        <vt:i4>5</vt:i4>
      </vt:variant>
      <vt:variant>
        <vt:lpwstr/>
      </vt:variant>
      <vt:variant>
        <vt:lpwstr>_Audible_signage_performance</vt:lpwstr>
      </vt:variant>
      <vt:variant>
        <vt:i4>3211285</vt:i4>
      </vt:variant>
      <vt:variant>
        <vt:i4>825</vt:i4>
      </vt:variant>
      <vt:variant>
        <vt:i4>0</vt:i4>
      </vt:variant>
      <vt:variant>
        <vt:i4>5</vt:i4>
      </vt:variant>
      <vt:variant>
        <vt:lpwstr/>
      </vt:variant>
      <vt:variant>
        <vt:lpwstr>_Usage_of_audible</vt:lpwstr>
      </vt:variant>
      <vt:variant>
        <vt:i4>2818081</vt:i4>
      </vt:variant>
      <vt:variant>
        <vt:i4>822</vt:i4>
      </vt:variant>
      <vt:variant>
        <vt:i4>0</vt:i4>
      </vt:variant>
      <vt:variant>
        <vt:i4>5</vt:i4>
      </vt:variant>
      <vt:variant>
        <vt:lpwstr/>
      </vt:variant>
      <vt:variant>
        <vt:lpwstr>_Colour_contrast</vt:lpwstr>
      </vt:variant>
      <vt:variant>
        <vt:i4>6815844</vt:i4>
      </vt:variant>
      <vt:variant>
        <vt:i4>819</vt:i4>
      </vt:variant>
      <vt:variant>
        <vt:i4>0</vt:i4>
      </vt:variant>
      <vt:variant>
        <vt:i4>5</vt:i4>
      </vt:variant>
      <vt:variant>
        <vt:lpwstr/>
      </vt:variant>
      <vt:variant>
        <vt:lpwstr>_Luminance_contrast</vt:lpwstr>
      </vt:variant>
      <vt:variant>
        <vt:i4>7405632</vt:i4>
      </vt:variant>
      <vt:variant>
        <vt:i4>816</vt:i4>
      </vt:variant>
      <vt:variant>
        <vt:i4>0</vt:i4>
      </vt:variant>
      <vt:variant>
        <vt:i4>5</vt:i4>
      </vt:variant>
      <vt:variant>
        <vt:lpwstr/>
      </vt:variant>
      <vt:variant>
        <vt:lpwstr>_Messaging</vt:lpwstr>
      </vt:variant>
      <vt:variant>
        <vt:i4>1638460</vt:i4>
      </vt:variant>
      <vt:variant>
        <vt:i4>813</vt:i4>
      </vt:variant>
      <vt:variant>
        <vt:i4>0</vt:i4>
      </vt:variant>
      <vt:variant>
        <vt:i4>5</vt:i4>
      </vt:variant>
      <vt:variant>
        <vt:lpwstr/>
      </vt:variant>
      <vt:variant>
        <vt:lpwstr>_Audible_signage_performance</vt:lpwstr>
      </vt:variant>
      <vt:variant>
        <vt:i4>7798872</vt:i4>
      </vt:variant>
      <vt:variant>
        <vt:i4>810</vt:i4>
      </vt:variant>
      <vt:variant>
        <vt:i4>0</vt:i4>
      </vt:variant>
      <vt:variant>
        <vt:i4>5</vt:i4>
      </vt:variant>
      <vt:variant>
        <vt:lpwstr/>
      </vt:variant>
      <vt:variant>
        <vt:lpwstr>_Configuration</vt:lpwstr>
      </vt:variant>
      <vt:variant>
        <vt:i4>2818081</vt:i4>
      </vt:variant>
      <vt:variant>
        <vt:i4>807</vt:i4>
      </vt:variant>
      <vt:variant>
        <vt:i4>0</vt:i4>
      </vt:variant>
      <vt:variant>
        <vt:i4>5</vt:i4>
      </vt:variant>
      <vt:variant>
        <vt:lpwstr/>
      </vt:variant>
      <vt:variant>
        <vt:lpwstr>_Colour_contrast</vt:lpwstr>
      </vt:variant>
      <vt:variant>
        <vt:i4>5963898</vt:i4>
      </vt:variant>
      <vt:variant>
        <vt:i4>804</vt:i4>
      </vt:variant>
      <vt:variant>
        <vt:i4>0</vt:i4>
      </vt:variant>
      <vt:variant>
        <vt:i4>5</vt:i4>
      </vt:variant>
      <vt:variant>
        <vt:lpwstr/>
      </vt:variant>
      <vt:variant>
        <vt:lpwstr>_Obstacles_on_paths</vt:lpwstr>
      </vt:variant>
      <vt:variant>
        <vt:i4>1638453</vt:i4>
      </vt:variant>
      <vt:variant>
        <vt:i4>801</vt:i4>
      </vt:variant>
      <vt:variant>
        <vt:i4>0</vt:i4>
      </vt:variant>
      <vt:variant>
        <vt:i4>5</vt:i4>
      </vt:variant>
      <vt:variant>
        <vt:lpwstr/>
      </vt:variant>
      <vt:variant>
        <vt:lpwstr>_Emplacement_des_panneaux</vt:lpwstr>
      </vt:variant>
      <vt:variant>
        <vt:i4>1900577</vt:i4>
      </vt:variant>
      <vt:variant>
        <vt:i4>798</vt:i4>
      </vt:variant>
      <vt:variant>
        <vt:i4>0</vt:i4>
      </vt:variant>
      <vt:variant>
        <vt:i4>5</vt:i4>
      </vt:variant>
      <vt:variant>
        <vt:lpwstr/>
      </vt:variant>
      <vt:variant>
        <vt:lpwstr>_Tactile_signs_at</vt:lpwstr>
      </vt:variant>
      <vt:variant>
        <vt:i4>4325461</vt:i4>
      </vt:variant>
      <vt:variant>
        <vt:i4>795</vt:i4>
      </vt:variant>
      <vt:variant>
        <vt:i4>0</vt:i4>
      </vt:variant>
      <vt:variant>
        <vt:i4>5</vt:i4>
      </vt:variant>
      <vt:variant>
        <vt:lpwstr/>
      </vt:variant>
      <vt:variant>
        <vt:lpwstr>_Tactile_signs_at_1</vt:lpwstr>
      </vt:variant>
      <vt:variant>
        <vt:i4>5963898</vt:i4>
      </vt:variant>
      <vt:variant>
        <vt:i4>792</vt:i4>
      </vt:variant>
      <vt:variant>
        <vt:i4>0</vt:i4>
      </vt:variant>
      <vt:variant>
        <vt:i4>5</vt:i4>
      </vt:variant>
      <vt:variant>
        <vt:lpwstr/>
      </vt:variant>
      <vt:variant>
        <vt:lpwstr>_Obstacles_on_paths</vt:lpwstr>
      </vt:variant>
      <vt:variant>
        <vt:i4>5963898</vt:i4>
      </vt:variant>
      <vt:variant>
        <vt:i4>789</vt:i4>
      </vt:variant>
      <vt:variant>
        <vt:i4>0</vt:i4>
      </vt:variant>
      <vt:variant>
        <vt:i4>5</vt:i4>
      </vt:variant>
      <vt:variant>
        <vt:lpwstr/>
      </vt:variant>
      <vt:variant>
        <vt:lpwstr>_Obstacles_on_paths</vt:lpwstr>
      </vt:variant>
      <vt:variant>
        <vt:i4>1900577</vt:i4>
      </vt:variant>
      <vt:variant>
        <vt:i4>786</vt:i4>
      </vt:variant>
      <vt:variant>
        <vt:i4>0</vt:i4>
      </vt:variant>
      <vt:variant>
        <vt:i4>5</vt:i4>
      </vt:variant>
      <vt:variant>
        <vt:lpwstr/>
      </vt:variant>
      <vt:variant>
        <vt:lpwstr>_Tactile_signs_at</vt:lpwstr>
      </vt:variant>
      <vt:variant>
        <vt:i4>3276814</vt:i4>
      </vt:variant>
      <vt:variant>
        <vt:i4>783</vt:i4>
      </vt:variant>
      <vt:variant>
        <vt:i4>0</vt:i4>
      </vt:variant>
      <vt:variant>
        <vt:i4>5</vt:i4>
      </vt:variant>
      <vt:variant>
        <vt:lpwstr/>
      </vt:variant>
      <vt:variant>
        <vt:lpwstr>_Tactile_sign_design</vt:lpwstr>
      </vt:variant>
      <vt:variant>
        <vt:i4>8126590</vt:i4>
      </vt:variant>
      <vt:variant>
        <vt:i4>780</vt:i4>
      </vt:variant>
      <vt:variant>
        <vt:i4>0</vt:i4>
      </vt:variant>
      <vt:variant>
        <vt:i4>5</vt:i4>
      </vt:variant>
      <vt:variant>
        <vt:lpwstr/>
      </vt:variant>
      <vt:variant>
        <vt:lpwstr>_Tactile_signs</vt:lpwstr>
      </vt:variant>
      <vt:variant>
        <vt:i4>7209040</vt:i4>
      </vt:variant>
      <vt:variant>
        <vt:i4>777</vt:i4>
      </vt:variant>
      <vt:variant>
        <vt:i4>0</vt:i4>
      </vt:variant>
      <vt:variant>
        <vt:i4>5</vt:i4>
      </vt:variant>
      <vt:variant>
        <vt:lpwstr/>
      </vt:variant>
      <vt:variant>
        <vt:lpwstr>_Different_types_of</vt:lpwstr>
      </vt:variant>
      <vt:variant>
        <vt:i4>1900577</vt:i4>
      </vt:variant>
      <vt:variant>
        <vt:i4>774</vt:i4>
      </vt:variant>
      <vt:variant>
        <vt:i4>0</vt:i4>
      </vt:variant>
      <vt:variant>
        <vt:i4>5</vt:i4>
      </vt:variant>
      <vt:variant>
        <vt:lpwstr/>
      </vt:variant>
      <vt:variant>
        <vt:lpwstr>_Tactile_signs_at</vt:lpwstr>
      </vt:variant>
      <vt:variant>
        <vt:i4>6422607</vt:i4>
      </vt:variant>
      <vt:variant>
        <vt:i4>771</vt:i4>
      </vt:variant>
      <vt:variant>
        <vt:i4>0</vt:i4>
      </vt:variant>
      <vt:variant>
        <vt:i4>5</vt:i4>
      </vt:variant>
      <vt:variant>
        <vt:lpwstr/>
      </vt:variant>
      <vt:variant>
        <vt:lpwstr>_Obstacles</vt:lpwstr>
      </vt:variant>
      <vt:variant>
        <vt:i4>6815844</vt:i4>
      </vt:variant>
      <vt:variant>
        <vt:i4>768</vt:i4>
      </vt:variant>
      <vt:variant>
        <vt:i4>0</vt:i4>
      </vt:variant>
      <vt:variant>
        <vt:i4>5</vt:i4>
      </vt:variant>
      <vt:variant>
        <vt:lpwstr/>
      </vt:variant>
      <vt:variant>
        <vt:lpwstr>_Luminance_contrast</vt:lpwstr>
      </vt:variant>
      <vt:variant>
        <vt:i4>3735573</vt:i4>
      </vt:variant>
      <vt:variant>
        <vt:i4>765</vt:i4>
      </vt:variant>
      <vt:variant>
        <vt:i4>0</vt:i4>
      </vt:variant>
      <vt:variant>
        <vt:i4>5</vt:i4>
      </vt:variant>
      <vt:variant>
        <vt:lpwstr/>
      </vt:variant>
      <vt:variant>
        <vt:lpwstr>_General_requirements_for</vt:lpwstr>
      </vt:variant>
      <vt:variant>
        <vt:i4>5177466</vt:i4>
      </vt:variant>
      <vt:variant>
        <vt:i4>762</vt:i4>
      </vt:variant>
      <vt:variant>
        <vt:i4>0</vt:i4>
      </vt:variant>
      <vt:variant>
        <vt:i4>5</vt:i4>
      </vt:variant>
      <vt:variant>
        <vt:lpwstr/>
      </vt:variant>
      <vt:variant>
        <vt:lpwstr>_Conception_et_construction</vt:lpwstr>
      </vt:variant>
      <vt:variant>
        <vt:i4>3276814</vt:i4>
      </vt:variant>
      <vt:variant>
        <vt:i4>759</vt:i4>
      </vt:variant>
      <vt:variant>
        <vt:i4>0</vt:i4>
      </vt:variant>
      <vt:variant>
        <vt:i4>5</vt:i4>
      </vt:variant>
      <vt:variant>
        <vt:lpwstr/>
      </vt:variant>
      <vt:variant>
        <vt:lpwstr>_Tactile_sign_design</vt:lpwstr>
      </vt:variant>
      <vt:variant>
        <vt:i4>14286945</vt:i4>
      </vt:variant>
      <vt:variant>
        <vt:i4>756</vt:i4>
      </vt:variant>
      <vt:variant>
        <vt:i4>0</vt:i4>
      </vt:variant>
      <vt:variant>
        <vt:i4>5</vt:i4>
      </vt:variant>
      <vt:variant>
        <vt:lpwstr/>
      </vt:variant>
      <vt:variant>
        <vt:lpwstr>_Signalisation_électronique_et</vt:lpwstr>
      </vt:variant>
      <vt:variant>
        <vt:i4>5570672</vt:i4>
      </vt:variant>
      <vt:variant>
        <vt:i4>753</vt:i4>
      </vt:variant>
      <vt:variant>
        <vt:i4>0</vt:i4>
      </vt:variant>
      <vt:variant>
        <vt:i4>5</vt:i4>
      </vt:variant>
      <vt:variant>
        <vt:lpwstr/>
      </vt:variant>
      <vt:variant>
        <vt:lpwstr>_Panneaux_de_stationnement</vt:lpwstr>
      </vt:variant>
      <vt:variant>
        <vt:i4>3801132</vt:i4>
      </vt:variant>
      <vt:variant>
        <vt:i4>750</vt:i4>
      </vt:variant>
      <vt:variant>
        <vt:i4>0</vt:i4>
      </vt:variant>
      <vt:variant>
        <vt:i4>5</vt:i4>
      </vt:variant>
      <vt:variant>
        <vt:lpwstr/>
      </vt:variant>
      <vt:variant>
        <vt:lpwstr>_Panneaux_temporaires</vt:lpwstr>
      </vt:variant>
      <vt:variant>
        <vt:i4>540999768</vt:i4>
      </vt:variant>
      <vt:variant>
        <vt:i4>747</vt:i4>
      </vt:variant>
      <vt:variant>
        <vt:i4>0</vt:i4>
      </vt:variant>
      <vt:variant>
        <vt:i4>5</vt:i4>
      </vt:variant>
      <vt:variant>
        <vt:lpwstr/>
      </vt:variant>
      <vt:variant>
        <vt:lpwstr>_Panneaux_d’information</vt:lpwstr>
      </vt:variant>
      <vt:variant>
        <vt:i4>542441518</vt:i4>
      </vt:variant>
      <vt:variant>
        <vt:i4>744</vt:i4>
      </vt:variant>
      <vt:variant>
        <vt:i4>0</vt:i4>
      </vt:variant>
      <vt:variant>
        <vt:i4>5</vt:i4>
      </vt:variant>
      <vt:variant>
        <vt:lpwstr/>
      </vt:variant>
      <vt:variant>
        <vt:lpwstr>_Panneaux_d’avertissement</vt:lpwstr>
      </vt:variant>
      <vt:variant>
        <vt:i4>11927588</vt:i4>
      </vt:variant>
      <vt:variant>
        <vt:i4>741</vt:i4>
      </vt:variant>
      <vt:variant>
        <vt:i4>0</vt:i4>
      </vt:variant>
      <vt:variant>
        <vt:i4>5</vt:i4>
      </vt:variant>
      <vt:variant>
        <vt:lpwstr/>
      </vt:variant>
      <vt:variant>
        <vt:lpwstr>_Panneaux_règlementaires</vt:lpwstr>
      </vt:variant>
      <vt:variant>
        <vt:i4>539230283</vt:i4>
      </vt:variant>
      <vt:variant>
        <vt:i4>738</vt:i4>
      </vt:variant>
      <vt:variant>
        <vt:i4>0</vt:i4>
      </vt:variant>
      <vt:variant>
        <vt:i4>5</vt:i4>
      </vt:variant>
      <vt:variant>
        <vt:lpwstr/>
      </vt:variant>
      <vt:variant>
        <vt:lpwstr>_Panneaux_d’identification</vt:lpwstr>
      </vt:variant>
      <vt:variant>
        <vt:i4>540016717</vt:i4>
      </vt:variant>
      <vt:variant>
        <vt:i4>735</vt:i4>
      </vt:variant>
      <vt:variant>
        <vt:i4>0</vt:i4>
      </vt:variant>
      <vt:variant>
        <vt:i4>5</vt:i4>
      </vt:variant>
      <vt:variant>
        <vt:lpwstr/>
      </vt:variant>
      <vt:variant>
        <vt:lpwstr>_Panneaux_d’orientation</vt:lpwstr>
      </vt:variant>
      <vt:variant>
        <vt:i4>5767174</vt:i4>
      </vt:variant>
      <vt:variant>
        <vt:i4>732</vt:i4>
      </vt:variant>
      <vt:variant>
        <vt:i4>0</vt:i4>
      </vt:variant>
      <vt:variant>
        <vt:i4>5</vt:i4>
      </vt:variant>
      <vt:variant>
        <vt:lpwstr/>
      </vt:variant>
      <vt:variant>
        <vt:lpwstr>Tableau4</vt:lpwstr>
      </vt:variant>
      <vt:variant>
        <vt:i4>7340123</vt:i4>
      </vt:variant>
      <vt:variant>
        <vt:i4>729</vt:i4>
      </vt:variant>
      <vt:variant>
        <vt:i4>0</vt:i4>
      </vt:variant>
      <vt:variant>
        <vt:i4>5</vt:i4>
      </vt:variant>
      <vt:variant>
        <vt:lpwstr/>
      </vt:variant>
      <vt:variant>
        <vt:lpwstr>_Espacement_des_barres</vt:lpwstr>
      </vt:variant>
      <vt:variant>
        <vt:i4>5439610</vt:i4>
      </vt:variant>
      <vt:variant>
        <vt:i4>726</vt:i4>
      </vt:variant>
      <vt:variant>
        <vt:i4>0</vt:i4>
      </vt:variant>
      <vt:variant>
        <vt:i4>5</vt:i4>
      </vt:variant>
      <vt:variant>
        <vt:lpwstr/>
      </vt:variant>
      <vt:variant>
        <vt:lpwstr>_Largeur_de_la</vt:lpwstr>
      </vt:variant>
      <vt:variant>
        <vt:i4>5767174</vt:i4>
      </vt:variant>
      <vt:variant>
        <vt:i4>723</vt:i4>
      </vt:variant>
      <vt:variant>
        <vt:i4>0</vt:i4>
      </vt:variant>
      <vt:variant>
        <vt:i4>5</vt:i4>
      </vt:variant>
      <vt:variant>
        <vt:lpwstr/>
      </vt:variant>
      <vt:variant>
        <vt:lpwstr>Tableau4</vt:lpwstr>
      </vt:variant>
      <vt:variant>
        <vt:i4>6225926</vt:i4>
      </vt:variant>
      <vt:variant>
        <vt:i4>720</vt:i4>
      </vt:variant>
      <vt:variant>
        <vt:i4>0</vt:i4>
      </vt:variant>
      <vt:variant>
        <vt:i4>5</vt:i4>
      </vt:variant>
      <vt:variant>
        <vt:lpwstr/>
      </vt:variant>
      <vt:variant>
        <vt:lpwstr>Tableau3</vt:lpwstr>
      </vt:variant>
      <vt:variant>
        <vt:i4>8454183</vt:i4>
      </vt:variant>
      <vt:variant>
        <vt:i4>717</vt:i4>
      </vt:variant>
      <vt:variant>
        <vt:i4>0</vt:i4>
      </vt:variant>
      <vt:variant>
        <vt:i4>5</vt:i4>
      </vt:variant>
      <vt:variant>
        <vt:lpwstr/>
      </vt:variant>
      <vt:variant>
        <vt:lpwstr>_Espacement_des_dômes</vt:lpwstr>
      </vt:variant>
      <vt:variant>
        <vt:i4>12320901</vt:i4>
      </vt:variant>
      <vt:variant>
        <vt:i4>714</vt:i4>
      </vt:variant>
      <vt:variant>
        <vt:i4>0</vt:i4>
      </vt:variant>
      <vt:variant>
        <vt:i4>5</vt:i4>
      </vt:variant>
      <vt:variant>
        <vt:lpwstr/>
      </vt:variant>
      <vt:variant>
        <vt:lpwstr>_Diamètre_du_dôme</vt:lpwstr>
      </vt:variant>
      <vt:variant>
        <vt:i4>6225926</vt:i4>
      </vt:variant>
      <vt:variant>
        <vt:i4>711</vt:i4>
      </vt:variant>
      <vt:variant>
        <vt:i4>0</vt:i4>
      </vt:variant>
      <vt:variant>
        <vt:i4>5</vt:i4>
      </vt:variant>
      <vt:variant>
        <vt:lpwstr/>
      </vt:variant>
      <vt:variant>
        <vt:lpwstr>Tableau3</vt:lpwstr>
      </vt:variant>
      <vt:variant>
        <vt:i4>4259906</vt:i4>
      </vt:variant>
      <vt:variant>
        <vt:i4>708</vt:i4>
      </vt:variant>
      <vt:variant>
        <vt:i4>0</vt:i4>
      </vt:variant>
      <vt:variant>
        <vt:i4>5</vt:i4>
      </vt:variant>
      <vt:variant>
        <vt:lpwstr/>
      </vt:variant>
      <vt:variant>
        <vt:lpwstr>_Colour_choice</vt:lpwstr>
      </vt:variant>
      <vt:variant>
        <vt:i4>6815844</vt:i4>
      </vt:variant>
      <vt:variant>
        <vt:i4>705</vt:i4>
      </vt:variant>
      <vt:variant>
        <vt:i4>0</vt:i4>
      </vt:variant>
      <vt:variant>
        <vt:i4>5</vt:i4>
      </vt:variant>
      <vt:variant>
        <vt:lpwstr/>
      </vt:variant>
      <vt:variant>
        <vt:lpwstr>_Luminance_contrast</vt:lpwstr>
      </vt:variant>
      <vt:variant>
        <vt:i4>1114167</vt:i4>
      </vt:variant>
      <vt:variant>
        <vt:i4>702</vt:i4>
      </vt:variant>
      <vt:variant>
        <vt:i4>0</vt:i4>
      </vt:variant>
      <vt:variant>
        <vt:i4>5</vt:i4>
      </vt:variant>
      <vt:variant>
        <vt:lpwstr/>
      </vt:variant>
      <vt:variant>
        <vt:lpwstr>_Lighting</vt:lpwstr>
      </vt:variant>
      <vt:variant>
        <vt:i4>5570603</vt:i4>
      </vt:variant>
      <vt:variant>
        <vt:i4>699</vt:i4>
      </vt:variant>
      <vt:variant>
        <vt:i4>0</vt:i4>
      </vt:variant>
      <vt:variant>
        <vt:i4>5</vt:i4>
      </vt:variant>
      <vt:variant>
        <vt:lpwstr/>
      </vt:variant>
      <vt:variant>
        <vt:lpwstr>_Annex_A:_Slip</vt:lpwstr>
      </vt:variant>
      <vt:variant>
        <vt:i4>6815844</vt:i4>
      </vt:variant>
      <vt:variant>
        <vt:i4>696</vt:i4>
      </vt:variant>
      <vt:variant>
        <vt:i4>0</vt:i4>
      </vt:variant>
      <vt:variant>
        <vt:i4>5</vt:i4>
      </vt:variant>
      <vt:variant>
        <vt:lpwstr/>
      </vt:variant>
      <vt:variant>
        <vt:lpwstr>_Luminance_contrast</vt:lpwstr>
      </vt:variant>
      <vt:variant>
        <vt:i4>589824</vt:i4>
      </vt:variant>
      <vt:variant>
        <vt:i4>693</vt:i4>
      </vt:variant>
      <vt:variant>
        <vt:i4>0</vt:i4>
      </vt:variant>
      <vt:variant>
        <vt:i4>5</vt:i4>
      </vt:variant>
      <vt:variant>
        <vt:lpwstr/>
      </vt:variant>
      <vt:variant>
        <vt:lpwstr>_General_requirements</vt:lpwstr>
      </vt:variant>
      <vt:variant>
        <vt:i4>6160390</vt:i4>
      </vt:variant>
      <vt:variant>
        <vt:i4>690</vt:i4>
      </vt:variant>
      <vt:variant>
        <vt:i4>0</vt:i4>
      </vt:variant>
      <vt:variant>
        <vt:i4>5</vt:i4>
      </vt:variant>
      <vt:variant>
        <vt:lpwstr/>
      </vt:variant>
      <vt:variant>
        <vt:lpwstr>Tableau2</vt:lpwstr>
      </vt:variant>
      <vt:variant>
        <vt:i4>6160390</vt:i4>
      </vt:variant>
      <vt:variant>
        <vt:i4>687</vt:i4>
      </vt:variant>
      <vt:variant>
        <vt:i4>0</vt:i4>
      </vt:variant>
      <vt:variant>
        <vt:i4>5</vt:i4>
      </vt:variant>
      <vt:variant>
        <vt:lpwstr/>
      </vt:variant>
      <vt:variant>
        <vt:lpwstr>Tableau2</vt:lpwstr>
      </vt:variant>
      <vt:variant>
        <vt:i4>589824</vt:i4>
      </vt:variant>
      <vt:variant>
        <vt:i4>684</vt:i4>
      </vt:variant>
      <vt:variant>
        <vt:i4>0</vt:i4>
      </vt:variant>
      <vt:variant>
        <vt:i4>5</vt:i4>
      </vt:variant>
      <vt:variant>
        <vt:lpwstr/>
      </vt:variant>
      <vt:variant>
        <vt:lpwstr>_General_requirements</vt:lpwstr>
      </vt:variant>
      <vt:variant>
        <vt:i4>6094854</vt:i4>
      </vt:variant>
      <vt:variant>
        <vt:i4>681</vt:i4>
      </vt:variant>
      <vt:variant>
        <vt:i4>0</vt:i4>
      </vt:variant>
      <vt:variant>
        <vt:i4>5</vt:i4>
      </vt:variant>
      <vt:variant>
        <vt:lpwstr/>
      </vt:variant>
      <vt:variant>
        <vt:lpwstr>Tableau1</vt:lpwstr>
      </vt:variant>
      <vt:variant>
        <vt:i4>4980842</vt:i4>
      </vt:variant>
      <vt:variant>
        <vt:i4>678</vt:i4>
      </vt:variant>
      <vt:variant>
        <vt:i4>0</vt:i4>
      </vt:variant>
      <vt:variant>
        <vt:i4>5</vt:i4>
      </vt:variant>
      <vt:variant>
        <vt:lpwstr/>
      </vt:variant>
      <vt:variant>
        <vt:lpwstr>_Contraste_de_luminance</vt:lpwstr>
      </vt:variant>
      <vt:variant>
        <vt:i4>1900560</vt:i4>
      </vt:variant>
      <vt:variant>
        <vt:i4>675</vt:i4>
      </vt:variant>
      <vt:variant>
        <vt:i4>0</vt:i4>
      </vt:variant>
      <vt:variant>
        <vt:i4>5</vt:i4>
      </vt:variant>
      <vt:variant>
        <vt:lpwstr/>
      </vt:variant>
      <vt:variant>
        <vt:lpwstr>_Exigences_générales</vt:lpwstr>
      </vt:variant>
      <vt:variant>
        <vt:i4>6160390</vt:i4>
      </vt:variant>
      <vt:variant>
        <vt:i4>672</vt:i4>
      </vt:variant>
      <vt:variant>
        <vt:i4>0</vt:i4>
      </vt:variant>
      <vt:variant>
        <vt:i4>5</vt:i4>
      </vt:variant>
      <vt:variant>
        <vt:lpwstr/>
      </vt:variant>
      <vt:variant>
        <vt:lpwstr>Tableau2</vt:lpwstr>
      </vt:variant>
      <vt:variant>
        <vt:i4>5308543</vt:i4>
      </vt:variant>
      <vt:variant>
        <vt:i4>669</vt:i4>
      </vt:variant>
      <vt:variant>
        <vt:i4>0</vt:i4>
      </vt:variant>
      <vt:variant>
        <vt:i4>5</vt:i4>
      </vt:variant>
      <vt:variant>
        <vt:lpwstr/>
      </vt:variant>
      <vt:variant>
        <vt:lpwstr>_Luminance_contrast_of</vt:lpwstr>
      </vt:variant>
      <vt:variant>
        <vt:i4>6094854</vt:i4>
      </vt:variant>
      <vt:variant>
        <vt:i4>666</vt:i4>
      </vt:variant>
      <vt:variant>
        <vt:i4>0</vt:i4>
      </vt:variant>
      <vt:variant>
        <vt:i4>5</vt:i4>
      </vt:variant>
      <vt:variant>
        <vt:lpwstr/>
      </vt:variant>
      <vt:variant>
        <vt:lpwstr>Tableau1</vt:lpwstr>
      </vt:variant>
      <vt:variant>
        <vt:i4>3211298</vt:i4>
      </vt:variant>
      <vt:variant>
        <vt:i4>663</vt:i4>
      </vt:variant>
      <vt:variant>
        <vt:i4>0</vt:i4>
      </vt:variant>
      <vt:variant>
        <vt:i4>5</vt:i4>
      </vt:variant>
      <vt:variant>
        <vt:lpwstr/>
      </vt:variant>
      <vt:variant>
        <vt:lpwstr>_Colour_patterns</vt:lpwstr>
      </vt:variant>
      <vt:variant>
        <vt:i4>1114167</vt:i4>
      </vt:variant>
      <vt:variant>
        <vt:i4>660</vt:i4>
      </vt:variant>
      <vt:variant>
        <vt:i4>0</vt:i4>
      </vt:variant>
      <vt:variant>
        <vt:i4>5</vt:i4>
      </vt:variant>
      <vt:variant>
        <vt:lpwstr/>
      </vt:variant>
      <vt:variant>
        <vt:lpwstr>_Lighting</vt:lpwstr>
      </vt:variant>
      <vt:variant>
        <vt:i4>6029384</vt:i4>
      </vt:variant>
      <vt:variant>
        <vt:i4>657</vt:i4>
      </vt:variant>
      <vt:variant>
        <vt:i4>0</vt:i4>
      </vt:variant>
      <vt:variant>
        <vt:i4>5</vt:i4>
      </vt:variant>
      <vt:variant>
        <vt:lpwstr/>
      </vt:variant>
      <vt:variant>
        <vt:lpwstr>_Exterior_lighting</vt:lpwstr>
      </vt:variant>
      <vt:variant>
        <vt:i4>4456516</vt:i4>
      </vt:variant>
      <vt:variant>
        <vt:i4>654</vt:i4>
      </vt:variant>
      <vt:variant>
        <vt:i4>0</vt:i4>
      </vt:variant>
      <vt:variant>
        <vt:i4>5</vt:i4>
      </vt:variant>
      <vt:variant>
        <vt:lpwstr>https://cie.co.at/eilvterm/17-21-039</vt:lpwstr>
      </vt:variant>
      <vt:variant>
        <vt:lpwstr/>
      </vt:variant>
      <vt:variant>
        <vt:i4>5046337</vt:i4>
      </vt:variant>
      <vt:variant>
        <vt:i4>651</vt:i4>
      </vt:variant>
      <vt:variant>
        <vt:i4>0</vt:i4>
      </vt:variant>
      <vt:variant>
        <vt:i4>5</vt:i4>
      </vt:variant>
      <vt:variant>
        <vt:lpwstr>https://cie.co.at/eilvterm/17-21-060</vt:lpwstr>
      </vt:variant>
      <vt:variant>
        <vt:lpwstr/>
      </vt:variant>
      <vt:variant>
        <vt:i4>6422544</vt:i4>
      </vt:variant>
      <vt:variant>
        <vt:i4>648</vt:i4>
      </vt:variant>
      <vt:variant>
        <vt:i4>0</vt:i4>
      </vt:variant>
      <vt:variant>
        <vt:i4>5</vt:i4>
      </vt:variant>
      <vt:variant>
        <vt:lpwstr>mailto:ASC.Standards-Normes.ASC@asc-nac.gc.ca</vt:lpwstr>
      </vt:variant>
      <vt:variant>
        <vt:lpwstr/>
      </vt:variant>
      <vt:variant>
        <vt:i4>1900571</vt:i4>
      </vt:variant>
      <vt:variant>
        <vt:i4>645</vt:i4>
      </vt:variant>
      <vt:variant>
        <vt:i4>0</vt:i4>
      </vt:variant>
      <vt:variant>
        <vt:i4>5</vt:i4>
      </vt:variant>
      <vt:variant>
        <vt:lpwstr>https://accessibilite.canada.ca/</vt:lpwstr>
      </vt:variant>
      <vt:variant>
        <vt:lpwstr/>
      </vt:variant>
      <vt:variant>
        <vt:i4>1114169</vt:i4>
      </vt:variant>
      <vt:variant>
        <vt:i4>638</vt:i4>
      </vt:variant>
      <vt:variant>
        <vt:i4>0</vt:i4>
      </vt:variant>
      <vt:variant>
        <vt:i4>5</vt:i4>
      </vt:variant>
      <vt:variant>
        <vt:lpwstr/>
      </vt:variant>
      <vt:variant>
        <vt:lpwstr>_Toc219706269</vt:lpwstr>
      </vt:variant>
      <vt:variant>
        <vt:i4>1114169</vt:i4>
      </vt:variant>
      <vt:variant>
        <vt:i4>632</vt:i4>
      </vt:variant>
      <vt:variant>
        <vt:i4>0</vt:i4>
      </vt:variant>
      <vt:variant>
        <vt:i4>5</vt:i4>
      </vt:variant>
      <vt:variant>
        <vt:lpwstr/>
      </vt:variant>
      <vt:variant>
        <vt:lpwstr>_Toc219706268</vt:lpwstr>
      </vt:variant>
      <vt:variant>
        <vt:i4>1114169</vt:i4>
      </vt:variant>
      <vt:variant>
        <vt:i4>626</vt:i4>
      </vt:variant>
      <vt:variant>
        <vt:i4>0</vt:i4>
      </vt:variant>
      <vt:variant>
        <vt:i4>5</vt:i4>
      </vt:variant>
      <vt:variant>
        <vt:lpwstr/>
      </vt:variant>
      <vt:variant>
        <vt:lpwstr>_Toc219706267</vt:lpwstr>
      </vt:variant>
      <vt:variant>
        <vt:i4>1114169</vt:i4>
      </vt:variant>
      <vt:variant>
        <vt:i4>620</vt:i4>
      </vt:variant>
      <vt:variant>
        <vt:i4>0</vt:i4>
      </vt:variant>
      <vt:variant>
        <vt:i4>5</vt:i4>
      </vt:variant>
      <vt:variant>
        <vt:lpwstr/>
      </vt:variant>
      <vt:variant>
        <vt:lpwstr>_Toc219706266</vt:lpwstr>
      </vt:variant>
      <vt:variant>
        <vt:i4>1114169</vt:i4>
      </vt:variant>
      <vt:variant>
        <vt:i4>614</vt:i4>
      </vt:variant>
      <vt:variant>
        <vt:i4>0</vt:i4>
      </vt:variant>
      <vt:variant>
        <vt:i4>5</vt:i4>
      </vt:variant>
      <vt:variant>
        <vt:lpwstr/>
      </vt:variant>
      <vt:variant>
        <vt:lpwstr>_Toc219706265</vt:lpwstr>
      </vt:variant>
      <vt:variant>
        <vt:i4>1114169</vt:i4>
      </vt:variant>
      <vt:variant>
        <vt:i4>608</vt:i4>
      </vt:variant>
      <vt:variant>
        <vt:i4>0</vt:i4>
      </vt:variant>
      <vt:variant>
        <vt:i4>5</vt:i4>
      </vt:variant>
      <vt:variant>
        <vt:lpwstr/>
      </vt:variant>
      <vt:variant>
        <vt:lpwstr>_Toc219706264</vt:lpwstr>
      </vt:variant>
      <vt:variant>
        <vt:i4>1114169</vt:i4>
      </vt:variant>
      <vt:variant>
        <vt:i4>602</vt:i4>
      </vt:variant>
      <vt:variant>
        <vt:i4>0</vt:i4>
      </vt:variant>
      <vt:variant>
        <vt:i4>5</vt:i4>
      </vt:variant>
      <vt:variant>
        <vt:lpwstr/>
      </vt:variant>
      <vt:variant>
        <vt:lpwstr>_Toc219706263</vt:lpwstr>
      </vt:variant>
      <vt:variant>
        <vt:i4>1114169</vt:i4>
      </vt:variant>
      <vt:variant>
        <vt:i4>596</vt:i4>
      </vt:variant>
      <vt:variant>
        <vt:i4>0</vt:i4>
      </vt:variant>
      <vt:variant>
        <vt:i4>5</vt:i4>
      </vt:variant>
      <vt:variant>
        <vt:lpwstr/>
      </vt:variant>
      <vt:variant>
        <vt:lpwstr>_Toc219706262</vt:lpwstr>
      </vt:variant>
      <vt:variant>
        <vt:i4>1114169</vt:i4>
      </vt:variant>
      <vt:variant>
        <vt:i4>590</vt:i4>
      </vt:variant>
      <vt:variant>
        <vt:i4>0</vt:i4>
      </vt:variant>
      <vt:variant>
        <vt:i4>5</vt:i4>
      </vt:variant>
      <vt:variant>
        <vt:lpwstr/>
      </vt:variant>
      <vt:variant>
        <vt:lpwstr>_Toc219706261</vt:lpwstr>
      </vt:variant>
      <vt:variant>
        <vt:i4>1114169</vt:i4>
      </vt:variant>
      <vt:variant>
        <vt:i4>584</vt:i4>
      </vt:variant>
      <vt:variant>
        <vt:i4>0</vt:i4>
      </vt:variant>
      <vt:variant>
        <vt:i4>5</vt:i4>
      </vt:variant>
      <vt:variant>
        <vt:lpwstr/>
      </vt:variant>
      <vt:variant>
        <vt:lpwstr>_Toc219706260</vt:lpwstr>
      </vt:variant>
      <vt:variant>
        <vt:i4>1179705</vt:i4>
      </vt:variant>
      <vt:variant>
        <vt:i4>578</vt:i4>
      </vt:variant>
      <vt:variant>
        <vt:i4>0</vt:i4>
      </vt:variant>
      <vt:variant>
        <vt:i4>5</vt:i4>
      </vt:variant>
      <vt:variant>
        <vt:lpwstr/>
      </vt:variant>
      <vt:variant>
        <vt:lpwstr>_Toc219706259</vt:lpwstr>
      </vt:variant>
      <vt:variant>
        <vt:i4>1179705</vt:i4>
      </vt:variant>
      <vt:variant>
        <vt:i4>572</vt:i4>
      </vt:variant>
      <vt:variant>
        <vt:i4>0</vt:i4>
      </vt:variant>
      <vt:variant>
        <vt:i4>5</vt:i4>
      </vt:variant>
      <vt:variant>
        <vt:lpwstr/>
      </vt:variant>
      <vt:variant>
        <vt:lpwstr>_Toc219706258</vt:lpwstr>
      </vt:variant>
      <vt:variant>
        <vt:i4>1179705</vt:i4>
      </vt:variant>
      <vt:variant>
        <vt:i4>566</vt:i4>
      </vt:variant>
      <vt:variant>
        <vt:i4>0</vt:i4>
      </vt:variant>
      <vt:variant>
        <vt:i4>5</vt:i4>
      </vt:variant>
      <vt:variant>
        <vt:lpwstr/>
      </vt:variant>
      <vt:variant>
        <vt:lpwstr>_Toc219706257</vt:lpwstr>
      </vt:variant>
      <vt:variant>
        <vt:i4>1179705</vt:i4>
      </vt:variant>
      <vt:variant>
        <vt:i4>560</vt:i4>
      </vt:variant>
      <vt:variant>
        <vt:i4>0</vt:i4>
      </vt:variant>
      <vt:variant>
        <vt:i4>5</vt:i4>
      </vt:variant>
      <vt:variant>
        <vt:lpwstr/>
      </vt:variant>
      <vt:variant>
        <vt:lpwstr>_Toc219706256</vt:lpwstr>
      </vt:variant>
      <vt:variant>
        <vt:i4>1179705</vt:i4>
      </vt:variant>
      <vt:variant>
        <vt:i4>554</vt:i4>
      </vt:variant>
      <vt:variant>
        <vt:i4>0</vt:i4>
      </vt:variant>
      <vt:variant>
        <vt:i4>5</vt:i4>
      </vt:variant>
      <vt:variant>
        <vt:lpwstr/>
      </vt:variant>
      <vt:variant>
        <vt:lpwstr>_Toc219706255</vt:lpwstr>
      </vt:variant>
      <vt:variant>
        <vt:i4>1179705</vt:i4>
      </vt:variant>
      <vt:variant>
        <vt:i4>548</vt:i4>
      </vt:variant>
      <vt:variant>
        <vt:i4>0</vt:i4>
      </vt:variant>
      <vt:variant>
        <vt:i4>5</vt:i4>
      </vt:variant>
      <vt:variant>
        <vt:lpwstr/>
      </vt:variant>
      <vt:variant>
        <vt:lpwstr>_Toc219706254</vt:lpwstr>
      </vt:variant>
      <vt:variant>
        <vt:i4>1179705</vt:i4>
      </vt:variant>
      <vt:variant>
        <vt:i4>542</vt:i4>
      </vt:variant>
      <vt:variant>
        <vt:i4>0</vt:i4>
      </vt:variant>
      <vt:variant>
        <vt:i4>5</vt:i4>
      </vt:variant>
      <vt:variant>
        <vt:lpwstr/>
      </vt:variant>
      <vt:variant>
        <vt:lpwstr>_Toc219706253</vt:lpwstr>
      </vt:variant>
      <vt:variant>
        <vt:i4>1179705</vt:i4>
      </vt:variant>
      <vt:variant>
        <vt:i4>536</vt:i4>
      </vt:variant>
      <vt:variant>
        <vt:i4>0</vt:i4>
      </vt:variant>
      <vt:variant>
        <vt:i4>5</vt:i4>
      </vt:variant>
      <vt:variant>
        <vt:lpwstr/>
      </vt:variant>
      <vt:variant>
        <vt:lpwstr>_Toc219706252</vt:lpwstr>
      </vt:variant>
      <vt:variant>
        <vt:i4>1179705</vt:i4>
      </vt:variant>
      <vt:variant>
        <vt:i4>530</vt:i4>
      </vt:variant>
      <vt:variant>
        <vt:i4>0</vt:i4>
      </vt:variant>
      <vt:variant>
        <vt:i4>5</vt:i4>
      </vt:variant>
      <vt:variant>
        <vt:lpwstr/>
      </vt:variant>
      <vt:variant>
        <vt:lpwstr>_Toc219706251</vt:lpwstr>
      </vt:variant>
      <vt:variant>
        <vt:i4>1179705</vt:i4>
      </vt:variant>
      <vt:variant>
        <vt:i4>524</vt:i4>
      </vt:variant>
      <vt:variant>
        <vt:i4>0</vt:i4>
      </vt:variant>
      <vt:variant>
        <vt:i4>5</vt:i4>
      </vt:variant>
      <vt:variant>
        <vt:lpwstr/>
      </vt:variant>
      <vt:variant>
        <vt:lpwstr>_Toc219706250</vt:lpwstr>
      </vt:variant>
      <vt:variant>
        <vt:i4>1245241</vt:i4>
      </vt:variant>
      <vt:variant>
        <vt:i4>518</vt:i4>
      </vt:variant>
      <vt:variant>
        <vt:i4>0</vt:i4>
      </vt:variant>
      <vt:variant>
        <vt:i4>5</vt:i4>
      </vt:variant>
      <vt:variant>
        <vt:lpwstr/>
      </vt:variant>
      <vt:variant>
        <vt:lpwstr>_Toc219706249</vt:lpwstr>
      </vt:variant>
      <vt:variant>
        <vt:i4>1245241</vt:i4>
      </vt:variant>
      <vt:variant>
        <vt:i4>512</vt:i4>
      </vt:variant>
      <vt:variant>
        <vt:i4>0</vt:i4>
      </vt:variant>
      <vt:variant>
        <vt:i4>5</vt:i4>
      </vt:variant>
      <vt:variant>
        <vt:lpwstr/>
      </vt:variant>
      <vt:variant>
        <vt:lpwstr>_Toc219706248</vt:lpwstr>
      </vt:variant>
      <vt:variant>
        <vt:i4>1245241</vt:i4>
      </vt:variant>
      <vt:variant>
        <vt:i4>506</vt:i4>
      </vt:variant>
      <vt:variant>
        <vt:i4>0</vt:i4>
      </vt:variant>
      <vt:variant>
        <vt:i4>5</vt:i4>
      </vt:variant>
      <vt:variant>
        <vt:lpwstr/>
      </vt:variant>
      <vt:variant>
        <vt:lpwstr>_Toc219706247</vt:lpwstr>
      </vt:variant>
      <vt:variant>
        <vt:i4>1245241</vt:i4>
      </vt:variant>
      <vt:variant>
        <vt:i4>500</vt:i4>
      </vt:variant>
      <vt:variant>
        <vt:i4>0</vt:i4>
      </vt:variant>
      <vt:variant>
        <vt:i4>5</vt:i4>
      </vt:variant>
      <vt:variant>
        <vt:lpwstr/>
      </vt:variant>
      <vt:variant>
        <vt:lpwstr>_Toc219706246</vt:lpwstr>
      </vt:variant>
      <vt:variant>
        <vt:i4>1245241</vt:i4>
      </vt:variant>
      <vt:variant>
        <vt:i4>494</vt:i4>
      </vt:variant>
      <vt:variant>
        <vt:i4>0</vt:i4>
      </vt:variant>
      <vt:variant>
        <vt:i4>5</vt:i4>
      </vt:variant>
      <vt:variant>
        <vt:lpwstr/>
      </vt:variant>
      <vt:variant>
        <vt:lpwstr>_Toc219706245</vt:lpwstr>
      </vt:variant>
      <vt:variant>
        <vt:i4>1245241</vt:i4>
      </vt:variant>
      <vt:variant>
        <vt:i4>488</vt:i4>
      </vt:variant>
      <vt:variant>
        <vt:i4>0</vt:i4>
      </vt:variant>
      <vt:variant>
        <vt:i4>5</vt:i4>
      </vt:variant>
      <vt:variant>
        <vt:lpwstr/>
      </vt:variant>
      <vt:variant>
        <vt:lpwstr>_Toc219706244</vt:lpwstr>
      </vt:variant>
      <vt:variant>
        <vt:i4>1245241</vt:i4>
      </vt:variant>
      <vt:variant>
        <vt:i4>482</vt:i4>
      </vt:variant>
      <vt:variant>
        <vt:i4>0</vt:i4>
      </vt:variant>
      <vt:variant>
        <vt:i4>5</vt:i4>
      </vt:variant>
      <vt:variant>
        <vt:lpwstr/>
      </vt:variant>
      <vt:variant>
        <vt:lpwstr>_Toc219706243</vt:lpwstr>
      </vt:variant>
      <vt:variant>
        <vt:i4>1245241</vt:i4>
      </vt:variant>
      <vt:variant>
        <vt:i4>476</vt:i4>
      </vt:variant>
      <vt:variant>
        <vt:i4>0</vt:i4>
      </vt:variant>
      <vt:variant>
        <vt:i4>5</vt:i4>
      </vt:variant>
      <vt:variant>
        <vt:lpwstr/>
      </vt:variant>
      <vt:variant>
        <vt:lpwstr>_Toc219706242</vt:lpwstr>
      </vt:variant>
      <vt:variant>
        <vt:i4>1245241</vt:i4>
      </vt:variant>
      <vt:variant>
        <vt:i4>470</vt:i4>
      </vt:variant>
      <vt:variant>
        <vt:i4>0</vt:i4>
      </vt:variant>
      <vt:variant>
        <vt:i4>5</vt:i4>
      </vt:variant>
      <vt:variant>
        <vt:lpwstr/>
      </vt:variant>
      <vt:variant>
        <vt:lpwstr>_Toc219706241</vt:lpwstr>
      </vt:variant>
      <vt:variant>
        <vt:i4>1245241</vt:i4>
      </vt:variant>
      <vt:variant>
        <vt:i4>464</vt:i4>
      </vt:variant>
      <vt:variant>
        <vt:i4>0</vt:i4>
      </vt:variant>
      <vt:variant>
        <vt:i4>5</vt:i4>
      </vt:variant>
      <vt:variant>
        <vt:lpwstr/>
      </vt:variant>
      <vt:variant>
        <vt:lpwstr>_Toc219706240</vt:lpwstr>
      </vt:variant>
      <vt:variant>
        <vt:i4>1310777</vt:i4>
      </vt:variant>
      <vt:variant>
        <vt:i4>458</vt:i4>
      </vt:variant>
      <vt:variant>
        <vt:i4>0</vt:i4>
      </vt:variant>
      <vt:variant>
        <vt:i4>5</vt:i4>
      </vt:variant>
      <vt:variant>
        <vt:lpwstr/>
      </vt:variant>
      <vt:variant>
        <vt:lpwstr>_Toc219706239</vt:lpwstr>
      </vt:variant>
      <vt:variant>
        <vt:i4>1310777</vt:i4>
      </vt:variant>
      <vt:variant>
        <vt:i4>452</vt:i4>
      </vt:variant>
      <vt:variant>
        <vt:i4>0</vt:i4>
      </vt:variant>
      <vt:variant>
        <vt:i4>5</vt:i4>
      </vt:variant>
      <vt:variant>
        <vt:lpwstr/>
      </vt:variant>
      <vt:variant>
        <vt:lpwstr>_Toc219706238</vt:lpwstr>
      </vt:variant>
      <vt:variant>
        <vt:i4>1310777</vt:i4>
      </vt:variant>
      <vt:variant>
        <vt:i4>446</vt:i4>
      </vt:variant>
      <vt:variant>
        <vt:i4>0</vt:i4>
      </vt:variant>
      <vt:variant>
        <vt:i4>5</vt:i4>
      </vt:variant>
      <vt:variant>
        <vt:lpwstr/>
      </vt:variant>
      <vt:variant>
        <vt:lpwstr>_Toc219706237</vt:lpwstr>
      </vt:variant>
      <vt:variant>
        <vt:i4>1310777</vt:i4>
      </vt:variant>
      <vt:variant>
        <vt:i4>440</vt:i4>
      </vt:variant>
      <vt:variant>
        <vt:i4>0</vt:i4>
      </vt:variant>
      <vt:variant>
        <vt:i4>5</vt:i4>
      </vt:variant>
      <vt:variant>
        <vt:lpwstr/>
      </vt:variant>
      <vt:variant>
        <vt:lpwstr>_Toc219706236</vt:lpwstr>
      </vt:variant>
      <vt:variant>
        <vt:i4>1310777</vt:i4>
      </vt:variant>
      <vt:variant>
        <vt:i4>434</vt:i4>
      </vt:variant>
      <vt:variant>
        <vt:i4>0</vt:i4>
      </vt:variant>
      <vt:variant>
        <vt:i4>5</vt:i4>
      </vt:variant>
      <vt:variant>
        <vt:lpwstr/>
      </vt:variant>
      <vt:variant>
        <vt:lpwstr>_Toc219706235</vt:lpwstr>
      </vt:variant>
      <vt:variant>
        <vt:i4>1310777</vt:i4>
      </vt:variant>
      <vt:variant>
        <vt:i4>428</vt:i4>
      </vt:variant>
      <vt:variant>
        <vt:i4>0</vt:i4>
      </vt:variant>
      <vt:variant>
        <vt:i4>5</vt:i4>
      </vt:variant>
      <vt:variant>
        <vt:lpwstr/>
      </vt:variant>
      <vt:variant>
        <vt:lpwstr>_Toc219706234</vt:lpwstr>
      </vt:variant>
      <vt:variant>
        <vt:i4>1310777</vt:i4>
      </vt:variant>
      <vt:variant>
        <vt:i4>422</vt:i4>
      </vt:variant>
      <vt:variant>
        <vt:i4>0</vt:i4>
      </vt:variant>
      <vt:variant>
        <vt:i4>5</vt:i4>
      </vt:variant>
      <vt:variant>
        <vt:lpwstr/>
      </vt:variant>
      <vt:variant>
        <vt:lpwstr>_Toc219706233</vt:lpwstr>
      </vt:variant>
      <vt:variant>
        <vt:i4>1310777</vt:i4>
      </vt:variant>
      <vt:variant>
        <vt:i4>416</vt:i4>
      </vt:variant>
      <vt:variant>
        <vt:i4>0</vt:i4>
      </vt:variant>
      <vt:variant>
        <vt:i4>5</vt:i4>
      </vt:variant>
      <vt:variant>
        <vt:lpwstr/>
      </vt:variant>
      <vt:variant>
        <vt:lpwstr>_Toc219706232</vt:lpwstr>
      </vt:variant>
      <vt:variant>
        <vt:i4>1310777</vt:i4>
      </vt:variant>
      <vt:variant>
        <vt:i4>410</vt:i4>
      </vt:variant>
      <vt:variant>
        <vt:i4>0</vt:i4>
      </vt:variant>
      <vt:variant>
        <vt:i4>5</vt:i4>
      </vt:variant>
      <vt:variant>
        <vt:lpwstr/>
      </vt:variant>
      <vt:variant>
        <vt:lpwstr>_Toc219706231</vt:lpwstr>
      </vt:variant>
      <vt:variant>
        <vt:i4>1310777</vt:i4>
      </vt:variant>
      <vt:variant>
        <vt:i4>404</vt:i4>
      </vt:variant>
      <vt:variant>
        <vt:i4>0</vt:i4>
      </vt:variant>
      <vt:variant>
        <vt:i4>5</vt:i4>
      </vt:variant>
      <vt:variant>
        <vt:lpwstr/>
      </vt:variant>
      <vt:variant>
        <vt:lpwstr>_Toc219706230</vt:lpwstr>
      </vt:variant>
      <vt:variant>
        <vt:i4>1376313</vt:i4>
      </vt:variant>
      <vt:variant>
        <vt:i4>398</vt:i4>
      </vt:variant>
      <vt:variant>
        <vt:i4>0</vt:i4>
      </vt:variant>
      <vt:variant>
        <vt:i4>5</vt:i4>
      </vt:variant>
      <vt:variant>
        <vt:lpwstr/>
      </vt:variant>
      <vt:variant>
        <vt:lpwstr>_Toc219706229</vt:lpwstr>
      </vt:variant>
      <vt:variant>
        <vt:i4>1376313</vt:i4>
      </vt:variant>
      <vt:variant>
        <vt:i4>392</vt:i4>
      </vt:variant>
      <vt:variant>
        <vt:i4>0</vt:i4>
      </vt:variant>
      <vt:variant>
        <vt:i4>5</vt:i4>
      </vt:variant>
      <vt:variant>
        <vt:lpwstr/>
      </vt:variant>
      <vt:variant>
        <vt:lpwstr>_Toc219706228</vt:lpwstr>
      </vt:variant>
      <vt:variant>
        <vt:i4>1376313</vt:i4>
      </vt:variant>
      <vt:variant>
        <vt:i4>386</vt:i4>
      </vt:variant>
      <vt:variant>
        <vt:i4>0</vt:i4>
      </vt:variant>
      <vt:variant>
        <vt:i4>5</vt:i4>
      </vt:variant>
      <vt:variant>
        <vt:lpwstr/>
      </vt:variant>
      <vt:variant>
        <vt:lpwstr>_Toc219706227</vt:lpwstr>
      </vt:variant>
      <vt:variant>
        <vt:i4>1376313</vt:i4>
      </vt:variant>
      <vt:variant>
        <vt:i4>380</vt:i4>
      </vt:variant>
      <vt:variant>
        <vt:i4>0</vt:i4>
      </vt:variant>
      <vt:variant>
        <vt:i4>5</vt:i4>
      </vt:variant>
      <vt:variant>
        <vt:lpwstr/>
      </vt:variant>
      <vt:variant>
        <vt:lpwstr>_Toc219706226</vt:lpwstr>
      </vt:variant>
      <vt:variant>
        <vt:i4>1376313</vt:i4>
      </vt:variant>
      <vt:variant>
        <vt:i4>374</vt:i4>
      </vt:variant>
      <vt:variant>
        <vt:i4>0</vt:i4>
      </vt:variant>
      <vt:variant>
        <vt:i4>5</vt:i4>
      </vt:variant>
      <vt:variant>
        <vt:lpwstr/>
      </vt:variant>
      <vt:variant>
        <vt:lpwstr>_Toc219706225</vt:lpwstr>
      </vt:variant>
      <vt:variant>
        <vt:i4>1376313</vt:i4>
      </vt:variant>
      <vt:variant>
        <vt:i4>368</vt:i4>
      </vt:variant>
      <vt:variant>
        <vt:i4>0</vt:i4>
      </vt:variant>
      <vt:variant>
        <vt:i4>5</vt:i4>
      </vt:variant>
      <vt:variant>
        <vt:lpwstr/>
      </vt:variant>
      <vt:variant>
        <vt:lpwstr>_Toc219706224</vt:lpwstr>
      </vt:variant>
      <vt:variant>
        <vt:i4>1376313</vt:i4>
      </vt:variant>
      <vt:variant>
        <vt:i4>362</vt:i4>
      </vt:variant>
      <vt:variant>
        <vt:i4>0</vt:i4>
      </vt:variant>
      <vt:variant>
        <vt:i4>5</vt:i4>
      </vt:variant>
      <vt:variant>
        <vt:lpwstr/>
      </vt:variant>
      <vt:variant>
        <vt:lpwstr>_Toc219706223</vt:lpwstr>
      </vt:variant>
      <vt:variant>
        <vt:i4>1376313</vt:i4>
      </vt:variant>
      <vt:variant>
        <vt:i4>356</vt:i4>
      </vt:variant>
      <vt:variant>
        <vt:i4>0</vt:i4>
      </vt:variant>
      <vt:variant>
        <vt:i4>5</vt:i4>
      </vt:variant>
      <vt:variant>
        <vt:lpwstr/>
      </vt:variant>
      <vt:variant>
        <vt:lpwstr>_Toc219706222</vt:lpwstr>
      </vt:variant>
      <vt:variant>
        <vt:i4>1376313</vt:i4>
      </vt:variant>
      <vt:variant>
        <vt:i4>350</vt:i4>
      </vt:variant>
      <vt:variant>
        <vt:i4>0</vt:i4>
      </vt:variant>
      <vt:variant>
        <vt:i4>5</vt:i4>
      </vt:variant>
      <vt:variant>
        <vt:lpwstr/>
      </vt:variant>
      <vt:variant>
        <vt:lpwstr>_Toc219706221</vt:lpwstr>
      </vt:variant>
      <vt:variant>
        <vt:i4>1376313</vt:i4>
      </vt:variant>
      <vt:variant>
        <vt:i4>344</vt:i4>
      </vt:variant>
      <vt:variant>
        <vt:i4>0</vt:i4>
      </vt:variant>
      <vt:variant>
        <vt:i4>5</vt:i4>
      </vt:variant>
      <vt:variant>
        <vt:lpwstr/>
      </vt:variant>
      <vt:variant>
        <vt:lpwstr>_Toc219706220</vt:lpwstr>
      </vt:variant>
      <vt:variant>
        <vt:i4>1441849</vt:i4>
      </vt:variant>
      <vt:variant>
        <vt:i4>338</vt:i4>
      </vt:variant>
      <vt:variant>
        <vt:i4>0</vt:i4>
      </vt:variant>
      <vt:variant>
        <vt:i4>5</vt:i4>
      </vt:variant>
      <vt:variant>
        <vt:lpwstr/>
      </vt:variant>
      <vt:variant>
        <vt:lpwstr>_Toc219706219</vt:lpwstr>
      </vt:variant>
      <vt:variant>
        <vt:i4>1441849</vt:i4>
      </vt:variant>
      <vt:variant>
        <vt:i4>332</vt:i4>
      </vt:variant>
      <vt:variant>
        <vt:i4>0</vt:i4>
      </vt:variant>
      <vt:variant>
        <vt:i4>5</vt:i4>
      </vt:variant>
      <vt:variant>
        <vt:lpwstr/>
      </vt:variant>
      <vt:variant>
        <vt:lpwstr>_Toc219706218</vt:lpwstr>
      </vt:variant>
      <vt:variant>
        <vt:i4>1441849</vt:i4>
      </vt:variant>
      <vt:variant>
        <vt:i4>326</vt:i4>
      </vt:variant>
      <vt:variant>
        <vt:i4>0</vt:i4>
      </vt:variant>
      <vt:variant>
        <vt:i4>5</vt:i4>
      </vt:variant>
      <vt:variant>
        <vt:lpwstr/>
      </vt:variant>
      <vt:variant>
        <vt:lpwstr>_Toc219706217</vt:lpwstr>
      </vt:variant>
      <vt:variant>
        <vt:i4>1441849</vt:i4>
      </vt:variant>
      <vt:variant>
        <vt:i4>320</vt:i4>
      </vt:variant>
      <vt:variant>
        <vt:i4>0</vt:i4>
      </vt:variant>
      <vt:variant>
        <vt:i4>5</vt:i4>
      </vt:variant>
      <vt:variant>
        <vt:lpwstr/>
      </vt:variant>
      <vt:variant>
        <vt:lpwstr>_Toc219706216</vt:lpwstr>
      </vt:variant>
      <vt:variant>
        <vt:i4>1441849</vt:i4>
      </vt:variant>
      <vt:variant>
        <vt:i4>314</vt:i4>
      </vt:variant>
      <vt:variant>
        <vt:i4>0</vt:i4>
      </vt:variant>
      <vt:variant>
        <vt:i4>5</vt:i4>
      </vt:variant>
      <vt:variant>
        <vt:lpwstr/>
      </vt:variant>
      <vt:variant>
        <vt:lpwstr>_Toc219706215</vt:lpwstr>
      </vt:variant>
      <vt:variant>
        <vt:i4>1441849</vt:i4>
      </vt:variant>
      <vt:variant>
        <vt:i4>308</vt:i4>
      </vt:variant>
      <vt:variant>
        <vt:i4>0</vt:i4>
      </vt:variant>
      <vt:variant>
        <vt:i4>5</vt:i4>
      </vt:variant>
      <vt:variant>
        <vt:lpwstr/>
      </vt:variant>
      <vt:variant>
        <vt:lpwstr>_Toc219706214</vt:lpwstr>
      </vt:variant>
      <vt:variant>
        <vt:i4>1441849</vt:i4>
      </vt:variant>
      <vt:variant>
        <vt:i4>302</vt:i4>
      </vt:variant>
      <vt:variant>
        <vt:i4>0</vt:i4>
      </vt:variant>
      <vt:variant>
        <vt:i4>5</vt:i4>
      </vt:variant>
      <vt:variant>
        <vt:lpwstr/>
      </vt:variant>
      <vt:variant>
        <vt:lpwstr>_Toc219706213</vt:lpwstr>
      </vt:variant>
      <vt:variant>
        <vt:i4>1441849</vt:i4>
      </vt:variant>
      <vt:variant>
        <vt:i4>296</vt:i4>
      </vt:variant>
      <vt:variant>
        <vt:i4>0</vt:i4>
      </vt:variant>
      <vt:variant>
        <vt:i4>5</vt:i4>
      </vt:variant>
      <vt:variant>
        <vt:lpwstr/>
      </vt:variant>
      <vt:variant>
        <vt:lpwstr>_Toc219706212</vt:lpwstr>
      </vt:variant>
      <vt:variant>
        <vt:i4>1441849</vt:i4>
      </vt:variant>
      <vt:variant>
        <vt:i4>290</vt:i4>
      </vt:variant>
      <vt:variant>
        <vt:i4>0</vt:i4>
      </vt:variant>
      <vt:variant>
        <vt:i4>5</vt:i4>
      </vt:variant>
      <vt:variant>
        <vt:lpwstr/>
      </vt:variant>
      <vt:variant>
        <vt:lpwstr>_Toc219706211</vt:lpwstr>
      </vt:variant>
      <vt:variant>
        <vt:i4>1441849</vt:i4>
      </vt:variant>
      <vt:variant>
        <vt:i4>284</vt:i4>
      </vt:variant>
      <vt:variant>
        <vt:i4>0</vt:i4>
      </vt:variant>
      <vt:variant>
        <vt:i4>5</vt:i4>
      </vt:variant>
      <vt:variant>
        <vt:lpwstr/>
      </vt:variant>
      <vt:variant>
        <vt:lpwstr>_Toc219706210</vt:lpwstr>
      </vt:variant>
      <vt:variant>
        <vt:i4>1507385</vt:i4>
      </vt:variant>
      <vt:variant>
        <vt:i4>278</vt:i4>
      </vt:variant>
      <vt:variant>
        <vt:i4>0</vt:i4>
      </vt:variant>
      <vt:variant>
        <vt:i4>5</vt:i4>
      </vt:variant>
      <vt:variant>
        <vt:lpwstr/>
      </vt:variant>
      <vt:variant>
        <vt:lpwstr>_Toc219706209</vt:lpwstr>
      </vt:variant>
      <vt:variant>
        <vt:i4>1507385</vt:i4>
      </vt:variant>
      <vt:variant>
        <vt:i4>272</vt:i4>
      </vt:variant>
      <vt:variant>
        <vt:i4>0</vt:i4>
      </vt:variant>
      <vt:variant>
        <vt:i4>5</vt:i4>
      </vt:variant>
      <vt:variant>
        <vt:lpwstr/>
      </vt:variant>
      <vt:variant>
        <vt:lpwstr>_Toc219706208</vt:lpwstr>
      </vt:variant>
      <vt:variant>
        <vt:i4>1507385</vt:i4>
      </vt:variant>
      <vt:variant>
        <vt:i4>266</vt:i4>
      </vt:variant>
      <vt:variant>
        <vt:i4>0</vt:i4>
      </vt:variant>
      <vt:variant>
        <vt:i4>5</vt:i4>
      </vt:variant>
      <vt:variant>
        <vt:lpwstr/>
      </vt:variant>
      <vt:variant>
        <vt:lpwstr>_Toc219706207</vt:lpwstr>
      </vt:variant>
      <vt:variant>
        <vt:i4>1507385</vt:i4>
      </vt:variant>
      <vt:variant>
        <vt:i4>260</vt:i4>
      </vt:variant>
      <vt:variant>
        <vt:i4>0</vt:i4>
      </vt:variant>
      <vt:variant>
        <vt:i4>5</vt:i4>
      </vt:variant>
      <vt:variant>
        <vt:lpwstr/>
      </vt:variant>
      <vt:variant>
        <vt:lpwstr>_Toc219706206</vt:lpwstr>
      </vt:variant>
      <vt:variant>
        <vt:i4>1507385</vt:i4>
      </vt:variant>
      <vt:variant>
        <vt:i4>254</vt:i4>
      </vt:variant>
      <vt:variant>
        <vt:i4>0</vt:i4>
      </vt:variant>
      <vt:variant>
        <vt:i4>5</vt:i4>
      </vt:variant>
      <vt:variant>
        <vt:lpwstr/>
      </vt:variant>
      <vt:variant>
        <vt:lpwstr>_Toc219706205</vt:lpwstr>
      </vt:variant>
      <vt:variant>
        <vt:i4>1507385</vt:i4>
      </vt:variant>
      <vt:variant>
        <vt:i4>248</vt:i4>
      </vt:variant>
      <vt:variant>
        <vt:i4>0</vt:i4>
      </vt:variant>
      <vt:variant>
        <vt:i4>5</vt:i4>
      </vt:variant>
      <vt:variant>
        <vt:lpwstr/>
      </vt:variant>
      <vt:variant>
        <vt:lpwstr>_Toc219706204</vt:lpwstr>
      </vt:variant>
      <vt:variant>
        <vt:i4>1507385</vt:i4>
      </vt:variant>
      <vt:variant>
        <vt:i4>242</vt:i4>
      </vt:variant>
      <vt:variant>
        <vt:i4>0</vt:i4>
      </vt:variant>
      <vt:variant>
        <vt:i4>5</vt:i4>
      </vt:variant>
      <vt:variant>
        <vt:lpwstr/>
      </vt:variant>
      <vt:variant>
        <vt:lpwstr>_Toc219706203</vt:lpwstr>
      </vt:variant>
      <vt:variant>
        <vt:i4>1507385</vt:i4>
      </vt:variant>
      <vt:variant>
        <vt:i4>236</vt:i4>
      </vt:variant>
      <vt:variant>
        <vt:i4>0</vt:i4>
      </vt:variant>
      <vt:variant>
        <vt:i4>5</vt:i4>
      </vt:variant>
      <vt:variant>
        <vt:lpwstr/>
      </vt:variant>
      <vt:variant>
        <vt:lpwstr>_Toc219706202</vt:lpwstr>
      </vt:variant>
      <vt:variant>
        <vt:i4>1507385</vt:i4>
      </vt:variant>
      <vt:variant>
        <vt:i4>230</vt:i4>
      </vt:variant>
      <vt:variant>
        <vt:i4>0</vt:i4>
      </vt:variant>
      <vt:variant>
        <vt:i4>5</vt:i4>
      </vt:variant>
      <vt:variant>
        <vt:lpwstr/>
      </vt:variant>
      <vt:variant>
        <vt:lpwstr>_Toc219706201</vt:lpwstr>
      </vt:variant>
      <vt:variant>
        <vt:i4>1507385</vt:i4>
      </vt:variant>
      <vt:variant>
        <vt:i4>224</vt:i4>
      </vt:variant>
      <vt:variant>
        <vt:i4>0</vt:i4>
      </vt:variant>
      <vt:variant>
        <vt:i4>5</vt:i4>
      </vt:variant>
      <vt:variant>
        <vt:lpwstr/>
      </vt:variant>
      <vt:variant>
        <vt:lpwstr>_Toc219706200</vt:lpwstr>
      </vt:variant>
      <vt:variant>
        <vt:i4>1966138</vt:i4>
      </vt:variant>
      <vt:variant>
        <vt:i4>218</vt:i4>
      </vt:variant>
      <vt:variant>
        <vt:i4>0</vt:i4>
      </vt:variant>
      <vt:variant>
        <vt:i4>5</vt:i4>
      </vt:variant>
      <vt:variant>
        <vt:lpwstr/>
      </vt:variant>
      <vt:variant>
        <vt:lpwstr>_Toc219706199</vt:lpwstr>
      </vt:variant>
      <vt:variant>
        <vt:i4>1966138</vt:i4>
      </vt:variant>
      <vt:variant>
        <vt:i4>212</vt:i4>
      </vt:variant>
      <vt:variant>
        <vt:i4>0</vt:i4>
      </vt:variant>
      <vt:variant>
        <vt:i4>5</vt:i4>
      </vt:variant>
      <vt:variant>
        <vt:lpwstr/>
      </vt:variant>
      <vt:variant>
        <vt:lpwstr>_Toc219706198</vt:lpwstr>
      </vt:variant>
      <vt:variant>
        <vt:i4>1966138</vt:i4>
      </vt:variant>
      <vt:variant>
        <vt:i4>206</vt:i4>
      </vt:variant>
      <vt:variant>
        <vt:i4>0</vt:i4>
      </vt:variant>
      <vt:variant>
        <vt:i4>5</vt:i4>
      </vt:variant>
      <vt:variant>
        <vt:lpwstr/>
      </vt:variant>
      <vt:variant>
        <vt:lpwstr>_Toc219706197</vt:lpwstr>
      </vt:variant>
      <vt:variant>
        <vt:i4>1966138</vt:i4>
      </vt:variant>
      <vt:variant>
        <vt:i4>200</vt:i4>
      </vt:variant>
      <vt:variant>
        <vt:i4>0</vt:i4>
      </vt:variant>
      <vt:variant>
        <vt:i4>5</vt:i4>
      </vt:variant>
      <vt:variant>
        <vt:lpwstr/>
      </vt:variant>
      <vt:variant>
        <vt:lpwstr>_Toc219706196</vt:lpwstr>
      </vt:variant>
      <vt:variant>
        <vt:i4>1966138</vt:i4>
      </vt:variant>
      <vt:variant>
        <vt:i4>194</vt:i4>
      </vt:variant>
      <vt:variant>
        <vt:i4>0</vt:i4>
      </vt:variant>
      <vt:variant>
        <vt:i4>5</vt:i4>
      </vt:variant>
      <vt:variant>
        <vt:lpwstr/>
      </vt:variant>
      <vt:variant>
        <vt:lpwstr>_Toc219706195</vt:lpwstr>
      </vt:variant>
      <vt:variant>
        <vt:i4>1966138</vt:i4>
      </vt:variant>
      <vt:variant>
        <vt:i4>188</vt:i4>
      </vt:variant>
      <vt:variant>
        <vt:i4>0</vt:i4>
      </vt:variant>
      <vt:variant>
        <vt:i4>5</vt:i4>
      </vt:variant>
      <vt:variant>
        <vt:lpwstr/>
      </vt:variant>
      <vt:variant>
        <vt:lpwstr>_Toc219706194</vt:lpwstr>
      </vt:variant>
      <vt:variant>
        <vt:i4>1966138</vt:i4>
      </vt:variant>
      <vt:variant>
        <vt:i4>182</vt:i4>
      </vt:variant>
      <vt:variant>
        <vt:i4>0</vt:i4>
      </vt:variant>
      <vt:variant>
        <vt:i4>5</vt:i4>
      </vt:variant>
      <vt:variant>
        <vt:lpwstr/>
      </vt:variant>
      <vt:variant>
        <vt:lpwstr>_Toc219706193</vt:lpwstr>
      </vt:variant>
      <vt:variant>
        <vt:i4>1966138</vt:i4>
      </vt:variant>
      <vt:variant>
        <vt:i4>176</vt:i4>
      </vt:variant>
      <vt:variant>
        <vt:i4>0</vt:i4>
      </vt:variant>
      <vt:variant>
        <vt:i4>5</vt:i4>
      </vt:variant>
      <vt:variant>
        <vt:lpwstr/>
      </vt:variant>
      <vt:variant>
        <vt:lpwstr>_Toc219706192</vt:lpwstr>
      </vt:variant>
      <vt:variant>
        <vt:i4>1966138</vt:i4>
      </vt:variant>
      <vt:variant>
        <vt:i4>170</vt:i4>
      </vt:variant>
      <vt:variant>
        <vt:i4>0</vt:i4>
      </vt:variant>
      <vt:variant>
        <vt:i4>5</vt:i4>
      </vt:variant>
      <vt:variant>
        <vt:lpwstr/>
      </vt:variant>
      <vt:variant>
        <vt:lpwstr>_Toc219706191</vt:lpwstr>
      </vt:variant>
      <vt:variant>
        <vt:i4>1966138</vt:i4>
      </vt:variant>
      <vt:variant>
        <vt:i4>164</vt:i4>
      </vt:variant>
      <vt:variant>
        <vt:i4>0</vt:i4>
      </vt:variant>
      <vt:variant>
        <vt:i4>5</vt:i4>
      </vt:variant>
      <vt:variant>
        <vt:lpwstr/>
      </vt:variant>
      <vt:variant>
        <vt:lpwstr>_Toc219706190</vt:lpwstr>
      </vt:variant>
      <vt:variant>
        <vt:i4>2031674</vt:i4>
      </vt:variant>
      <vt:variant>
        <vt:i4>158</vt:i4>
      </vt:variant>
      <vt:variant>
        <vt:i4>0</vt:i4>
      </vt:variant>
      <vt:variant>
        <vt:i4>5</vt:i4>
      </vt:variant>
      <vt:variant>
        <vt:lpwstr/>
      </vt:variant>
      <vt:variant>
        <vt:lpwstr>_Toc219706189</vt:lpwstr>
      </vt:variant>
      <vt:variant>
        <vt:i4>2031674</vt:i4>
      </vt:variant>
      <vt:variant>
        <vt:i4>152</vt:i4>
      </vt:variant>
      <vt:variant>
        <vt:i4>0</vt:i4>
      </vt:variant>
      <vt:variant>
        <vt:i4>5</vt:i4>
      </vt:variant>
      <vt:variant>
        <vt:lpwstr/>
      </vt:variant>
      <vt:variant>
        <vt:lpwstr>_Toc219706188</vt:lpwstr>
      </vt:variant>
      <vt:variant>
        <vt:i4>2031674</vt:i4>
      </vt:variant>
      <vt:variant>
        <vt:i4>146</vt:i4>
      </vt:variant>
      <vt:variant>
        <vt:i4>0</vt:i4>
      </vt:variant>
      <vt:variant>
        <vt:i4>5</vt:i4>
      </vt:variant>
      <vt:variant>
        <vt:lpwstr/>
      </vt:variant>
      <vt:variant>
        <vt:lpwstr>_Toc219706187</vt:lpwstr>
      </vt:variant>
      <vt:variant>
        <vt:i4>2031674</vt:i4>
      </vt:variant>
      <vt:variant>
        <vt:i4>140</vt:i4>
      </vt:variant>
      <vt:variant>
        <vt:i4>0</vt:i4>
      </vt:variant>
      <vt:variant>
        <vt:i4>5</vt:i4>
      </vt:variant>
      <vt:variant>
        <vt:lpwstr/>
      </vt:variant>
      <vt:variant>
        <vt:lpwstr>_Toc219706186</vt:lpwstr>
      </vt:variant>
      <vt:variant>
        <vt:i4>2031674</vt:i4>
      </vt:variant>
      <vt:variant>
        <vt:i4>134</vt:i4>
      </vt:variant>
      <vt:variant>
        <vt:i4>0</vt:i4>
      </vt:variant>
      <vt:variant>
        <vt:i4>5</vt:i4>
      </vt:variant>
      <vt:variant>
        <vt:lpwstr/>
      </vt:variant>
      <vt:variant>
        <vt:lpwstr>_Toc219706185</vt:lpwstr>
      </vt:variant>
      <vt:variant>
        <vt:i4>2031674</vt:i4>
      </vt:variant>
      <vt:variant>
        <vt:i4>128</vt:i4>
      </vt:variant>
      <vt:variant>
        <vt:i4>0</vt:i4>
      </vt:variant>
      <vt:variant>
        <vt:i4>5</vt:i4>
      </vt:variant>
      <vt:variant>
        <vt:lpwstr/>
      </vt:variant>
      <vt:variant>
        <vt:lpwstr>_Toc219706184</vt:lpwstr>
      </vt:variant>
      <vt:variant>
        <vt:i4>2031674</vt:i4>
      </vt:variant>
      <vt:variant>
        <vt:i4>122</vt:i4>
      </vt:variant>
      <vt:variant>
        <vt:i4>0</vt:i4>
      </vt:variant>
      <vt:variant>
        <vt:i4>5</vt:i4>
      </vt:variant>
      <vt:variant>
        <vt:lpwstr/>
      </vt:variant>
      <vt:variant>
        <vt:lpwstr>_Toc219706183</vt:lpwstr>
      </vt:variant>
      <vt:variant>
        <vt:i4>2031674</vt:i4>
      </vt:variant>
      <vt:variant>
        <vt:i4>116</vt:i4>
      </vt:variant>
      <vt:variant>
        <vt:i4>0</vt:i4>
      </vt:variant>
      <vt:variant>
        <vt:i4>5</vt:i4>
      </vt:variant>
      <vt:variant>
        <vt:lpwstr/>
      </vt:variant>
      <vt:variant>
        <vt:lpwstr>_Toc219706182</vt:lpwstr>
      </vt:variant>
      <vt:variant>
        <vt:i4>2031674</vt:i4>
      </vt:variant>
      <vt:variant>
        <vt:i4>110</vt:i4>
      </vt:variant>
      <vt:variant>
        <vt:i4>0</vt:i4>
      </vt:variant>
      <vt:variant>
        <vt:i4>5</vt:i4>
      </vt:variant>
      <vt:variant>
        <vt:lpwstr/>
      </vt:variant>
      <vt:variant>
        <vt:lpwstr>_Toc219706181</vt:lpwstr>
      </vt:variant>
      <vt:variant>
        <vt:i4>2031674</vt:i4>
      </vt:variant>
      <vt:variant>
        <vt:i4>104</vt:i4>
      </vt:variant>
      <vt:variant>
        <vt:i4>0</vt:i4>
      </vt:variant>
      <vt:variant>
        <vt:i4>5</vt:i4>
      </vt:variant>
      <vt:variant>
        <vt:lpwstr/>
      </vt:variant>
      <vt:variant>
        <vt:lpwstr>_Toc219706180</vt:lpwstr>
      </vt:variant>
      <vt:variant>
        <vt:i4>1048634</vt:i4>
      </vt:variant>
      <vt:variant>
        <vt:i4>98</vt:i4>
      </vt:variant>
      <vt:variant>
        <vt:i4>0</vt:i4>
      </vt:variant>
      <vt:variant>
        <vt:i4>5</vt:i4>
      </vt:variant>
      <vt:variant>
        <vt:lpwstr/>
      </vt:variant>
      <vt:variant>
        <vt:lpwstr>_Toc219706179</vt:lpwstr>
      </vt:variant>
      <vt:variant>
        <vt:i4>1048634</vt:i4>
      </vt:variant>
      <vt:variant>
        <vt:i4>92</vt:i4>
      </vt:variant>
      <vt:variant>
        <vt:i4>0</vt:i4>
      </vt:variant>
      <vt:variant>
        <vt:i4>5</vt:i4>
      </vt:variant>
      <vt:variant>
        <vt:lpwstr/>
      </vt:variant>
      <vt:variant>
        <vt:lpwstr>_Toc219706178</vt:lpwstr>
      </vt:variant>
      <vt:variant>
        <vt:i4>1048634</vt:i4>
      </vt:variant>
      <vt:variant>
        <vt:i4>86</vt:i4>
      </vt:variant>
      <vt:variant>
        <vt:i4>0</vt:i4>
      </vt:variant>
      <vt:variant>
        <vt:i4>5</vt:i4>
      </vt:variant>
      <vt:variant>
        <vt:lpwstr/>
      </vt:variant>
      <vt:variant>
        <vt:lpwstr>_Toc219706177</vt:lpwstr>
      </vt:variant>
      <vt:variant>
        <vt:i4>1048634</vt:i4>
      </vt:variant>
      <vt:variant>
        <vt:i4>80</vt:i4>
      </vt:variant>
      <vt:variant>
        <vt:i4>0</vt:i4>
      </vt:variant>
      <vt:variant>
        <vt:i4>5</vt:i4>
      </vt:variant>
      <vt:variant>
        <vt:lpwstr/>
      </vt:variant>
      <vt:variant>
        <vt:lpwstr>_Toc219706176</vt:lpwstr>
      </vt:variant>
      <vt:variant>
        <vt:i4>1048634</vt:i4>
      </vt:variant>
      <vt:variant>
        <vt:i4>74</vt:i4>
      </vt:variant>
      <vt:variant>
        <vt:i4>0</vt:i4>
      </vt:variant>
      <vt:variant>
        <vt:i4>5</vt:i4>
      </vt:variant>
      <vt:variant>
        <vt:lpwstr/>
      </vt:variant>
      <vt:variant>
        <vt:lpwstr>_Toc219706175</vt:lpwstr>
      </vt:variant>
      <vt:variant>
        <vt:i4>1048634</vt:i4>
      </vt:variant>
      <vt:variant>
        <vt:i4>68</vt:i4>
      </vt:variant>
      <vt:variant>
        <vt:i4>0</vt:i4>
      </vt:variant>
      <vt:variant>
        <vt:i4>5</vt:i4>
      </vt:variant>
      <vt:variant>
        <vt:lpwstr/>
      </vt:variant>
      <vt:variant>
        <vt:lpwstr>_Toc219706174</vt:lpwstr>
      </vt:variant>
      <vt:variant>
        <vt:i4>1048634</vt:i4>
      </vt:variant>
      <vt:variant>
        <vt:i4>62</vt:i4>
      </vt:variant>
      <vt:variant>
        <vt:i4>0</vt:i4>
      </vt:variant>
      <vt:variant>
        <vt:i4>5</vt:i4>
      </vt:variant>
      <vt:variant>
        <vt:lpwstr/>
      </vt:variant>
      <vt:variant>
        <vt:lpwstr>_Toc219706173</vt:lpwstr>
      </vt:variant>
      <vt:variant>
        <vt:i4>1048634</vt:i4>
      </vt:variant>
      <vt:variant>
        <vt:i4>56</vt:i4>
      </vt:variant>
      <vt:variant>
        <vt:i4>0</vt:i4>
      </vt:variant>
      <vt:variant>
        <vt:i4>5</vt:i4>
      </vt:variant>
      <vt:variant>
        <vt:lpwstr/>
      </vt:variant>
      <vt:variant>
        <vt:lpwstr>_Toc219706172</vt:lpwstr>
      </vt:variant>
      <vt:variant>
        <vt:i4>1048634</vt:i4>
      </vt:variant>
      <vt:variant>
        <vt:i4>50</vt:i4>
      </vt:variant>
      <vt:variant>
        <vt:i4>0</vt:i4>
      </vt:variant>
      <vt:variant>
        <vt:i4>5</vt:i4>
      </vt:variant>
      <vt:variant>
        <vt:lpwstr/>
      </vt:variant>
      <vt:variant>
        <vt:lpwstr>_Toc219706171</vt:lpwstr>
      </vt:variant>
      <vt:variant>
        <vt:i4>1048634</vt:i4>
      </vt:variant>
      <vt:variant>
        <vt:i4>44</vt:i4>
      </vt:variant>
      <vt:variant>
        <vt:i4>0</vt:i4>
      </vt:variant>
      <vt:variant>
        <vt:i4>5</vt:i4>
      </vt:variant>
      <vt:variant>
        <vt:lpwstr/>
      </vt:variant>
      <vt:variant>
        <vt:lpwstr>_Toc219706170</vt:lpwstr>
      </vt:variant>
      <vt:variant>
        <vt:i4>1114170</vt:i4>
      </vt:variant>
      <vt:variant>
        <vt:i4>38</vt:i4>
      </vt:variant>
      <vt:variant>
        <vt:i4>0</vt:i4>
      </vt:variant>
      <vt:variant>
        <vt:i4>5</vt:i4>
      </vt:variant>
      <vt:variant>
        <vt:lpwstr/>
      </vt:variant>
      <vt:variant>
        <vt:lpwstr>_Toc219706169</vt:lpwstr>
      </vt:variant>
      <vt:variant>
        <vt:i4>1114170</vt:i4>
      </vt:variant>
      <vt:variant>
        <vt:i4>32</vt:i4>
      </vt:variant>
      <vt:variant>
        <vt:i4>0</vt:i4>
      </vt:variant>
      <vt:variant>
        <vt:i4>5</vt:i4>
      </vt:variant>
      <vt:variant>
        <vt:lpwstr/>
      </vt:variant>
      <vt:variant>
        <vt:lpwstr>_Toc219706168</vt:lpwstr>
      </vt:variant>
      <vt:variant>
        <vt:i4>1114170</vt:i4>
      </vt:variant>
      <vt:variant>
        <vt:i4>26</vt:i4>
      </vt:variant>
      <vt:variant>
        <vt:i4>0</vt:i4>
      </vt:variant>
      <vt:variant>
        <vt:i4>5</vt:i4>
      </vt:variant>
      <vt:variant>
        <vt:lpwstr/>
      </vt:variant>
      <vt:variant>
        <vt:lpwstr>_Toc219706167</vt:lpwstr>
      </vt:variant>
      <vt:variant>
        <vt:i4>1114170</vt:i4>
      </vt:variant>
      <vt:variant>
        <vt:i4>20</vt:i4>
      </vt:variant>
      <vt:variant>
        <vt:i4>0</vt:i4>
      </vt:variant>
      <vt:variant>
        <vt:i4>5</vt:i4>
      </vt:variant>
      <vt:variant>
        <vt:lpwstr/>
      </vt:variant>
      <vt:variant>
        <vt:lpwstr>_Toc219706166</vt:lpwstr>
      </vt:variant>
      <vt:variant>
        <vt:i4>1114170</vt:i4>
      </vt:variant>
      <vt:variant>
        <vt:i4>14</vt:i4>
      </vt:variant>
      <vt:variant>
        <vt:i4>0</vt:i4>
      </vt:variant>
      <vt:variant>
        <vt:i4>5</vt:i4>
      </vt:variant>
      <vt:variant>
        <vt:lpwstr/>
      </vt:variant>
      <vt:variant>
        <vt:lpwstr>_Toc219706165</vt:lpwstr>
      </vt:variant>
      <vt:variant>
        <vt:i4>1114170</vt:i4>
      </vt:variant>
      <vt:variant>
        <vt:i4>8</vt:i4>
      </vt:variant>
      <vt:variant>
        <vt:i4>0</vt:i4>
      </vt:variant>
      <vt:variant>
        <vt:i4>5</vt:i4>
      </vt:variant>
      <vt:variant>
        <vt:lpwstr/>
      </vt:variant>
      <vt:variant>
        <vt:lpwstr>_Toc219706164</vt:lpwstr>
      </vt:variant>
      <vt:variant>
        <vt:i4>1114170</vt:i4>
      </vt:variant>
      <vt:variant>
        <vt:i4>2</vt:i4>
      </vt:variant>
      <vt:variant>
        <vt:i4>0</vt:i4>
      </vt:variant>
      <vt:variant>
        <vt:i4>5</vt:i4>
      </vt:variant>
      <vt:variant>
        <vt:lpwstr/>
      </vt:variant>
      <vt:variant>
        <vt:lpwstr>_Toc219706163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2026-01-19T16:04:00Z</dcterms:created>
  <dcterms:modified xsi:type="dcterms:W3CDTF">2026-01-19T16:05:00Z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2400</vt:r8>
  </property>
  <property fmtid="{D5CDD505-2E9C-101B-9397-08002B2CF9AE}" pid="3" name="MediaServiceImageTags">
    <vt:lpwstr/>
  </property>
  <property fmtid="{D5CDD505-2E9C-101B-9397-08002B2CF9AE}" pid="4" name="ContentTypeId">
    <vt:lpwstr>0x0101002B64EA82F63FB340BFA35F0D8A06CC7500E9DB1425EEDAFE4F9C36DE0964A41899</vt:lpwstr>
  </property>
  <property fmtid="{D5CDD505-2E9C-101B-9397-08002B2CF9AE}" pid="5" name="DocSource">
    <vt:lpwstr/>
  </property>
  <property fmtid="{D5CDD505-2E9C-101B-9397-08002B2CF9AE}" pid="6" name="BusinessOwner">
    <vt:lpwstr>1;#Canadian Accessibility Standards Development Organization|cbe20321-46ca-42d2-af29-64eec9968096</vt:lpwstr>
  </property>
  <property fmtid="{D5CDD505-2E9C-101B-9397-08002B2CF9AE}" pid="7" name="Document_x0020_Language1">
    <vt:lpwstr/>
  </property>
  <property fmtid="{D5CDD505-2E9C-101B-9397-08002B2CF9AE}" pid="8" name="DocumentStatus">
    <vt:lpwstr>6;#Travail en cours|63e0d7cc-798c-4b6e-bac4-698cd220c5eb</vt:lpwstr>
  </property>
  <property fmtid="{D5CDD505-2E9C-101B-9397-08002B2CF9AE}" pid="9" name="lcf76f155ced4ddcb4097134ff3c332f">
    <vt:lpwstr/>
  </property>
  <property fmtid="{D5CDD505-2E9C-101B-9397-08002B2CF9AE}" pid="10" name="Document Language1">
    <vt:lpwstr/>
  </property>
  <property fmtid="{D5CDD505-2E9C-101B-9397-08002B2CF9AE}" pid="11" name="_dlc_DocIdItemGuid">
    <vt:lpwstr>02b11265-ac69-4b0f-a726-655d34a8b34a</vt:lpwstr>
  </property>
</Properties>
</file>